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9A7C1BC"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C268E6" w:rsidRPr="00F06DCE">
        <w:t>1</w:t>
      </w:r>
      <w:r w:rsidR="00DF66E1" w:rsidRPr="00F06DCE">
        <w:t>9</w:t>
      </w:r>
      <w:r w:rsidR="00F06DCE" w:rsidRPr="00F06DCE">
        <w:t>bis-</w:t>
      </w:r>
      <w:r w:rsidR="00F20F5C" w:rsidRPr="00F06DCE">
        <w:t>e</w:t>
      </w:r>
      <w:r w:rsidRPr="00F06DCE">
        <w:tab/>
      </w:r>
      <w:r w:rsidR="00060620" w:rsidRPr="00060620">
        <w:rPr>
          <w:sz w:val="32"/>
          <w:szCs w:val="32"/>
        </w:rPr>
        <w:t>R2-2210308</w:t>
      </w:r>
    </w:p>
    <w:p w14:paraId="0DEF01D1" w14:textId="345C8B07" w:rsidR="00E90E49" w:rsidRPr="00CE0424" w:rsidRDefault="00C268E6" w:rsidP="00311702">
      <w:pPr>
        <w:pStyle w:val="3GPPHeader"/>
      </w:pPr>
      <w:r w:rsidRPr="00F06DCE">
        <w:t>Electronic meeting, 202</w:t>
      </w:r>
      <w:r w:rsidR="00DF66E1" w:rsidRPr="00F06DCE">
        <w:t>2-</w:t>
      </w:r>
      <w:r w:rsidR="00F06DCE" w:rsidRPr="00F06DCE">
        <w:t>10</w:t>
      </w:r>
      <w:r w:rsidR="00DF66E1" w:rsidRPr="00F06DCE">
        <w:t>-1</w:t>
      </w:r>
      <w:r w:rsidR="00F06DCE" w:rsidRPr="00F06DCE">
        <w:t>0</w:t>
      </w:r>
      <w:r w:rsidR="00DF66E1" w:rsidRPr="00F06DCE">
        <w:t xml:space="preserve"> - 2022-</w:t>
      </w:r>
      <w:r w:rsidR="00F06DCE" w:rsidRPr="00F06DCE">
        <w:t>10</w:t>
      </w:r>
      <w:r w:rsidR="00DF66E1" w:rsidRPr="00F06DCE">
        <w:t>-</w:t>
      </w:r>
      <w:r w:rsidR="00F06DCE" w:rsidRPr="00F06DCE">
        <w:t>1</w:t>
      </w:r>
      <w:r w:rsidR="00DF66E1" w:rsidRPr="00F06DCE">
        <w:t>9</w:t>
      </w:r>
    </w:p>
    <w:p w14:paraId="252563D4" w14:textId="77777777" w:rsidR="00E90E49" w:rsidRPr="00CE0424" w:rsidRDefault="00E90E49" w:rsidP="00357380">
      <w:pPr>
        <w:pStyle w:val="3GPPHeader"/>
      </w:pPr>
    </w:p>
    <w:p w14:paraId="267378A2" w14:textId="068AA50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D4266" w:rsidRPr="000732D8">
        <w:rPr>
          <w:sz w:val="22"/>
          <w:szCs w:val="22"/>
        </w:rPr>
        <w:t>8.4.3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137EF0A" w:rsidR="00E90E49" w:rsidRPr="00CE0424" w:rsidRDefault="003D3C45" w:rsidP="00311702">
      <w:pPr>
        <w:pStyle w:val="3GPPHeader"/>
        <w:rPr>
          <w:sz w:val="22"/>
          <w:szCs w:val="22"/>
        </w:rPr>
      </w:pPr>
      <w:r>
        <w:rPr>
          <w:sz w:val="22"/>
          <w:szCs w:val="22"/>
        </w:rPr>
        <w:t>Title:</w:t>
      </w:r>
      <w:r w:rsidR="00E90E49" w:rsidRPr="00CE0424">
        <w:rPr>
          <w:sz w:val="22"/>
          <w:szCs w:val="22"/>
        </w:rPr>
        <w:tab/>
      </w:r>
      <w:r w:rsidR="00FD4266">
        <w:rPr>
          <w:sz w:val="22"/>
          <w:szCs w:val="22"/>
        </w:rPr>
        <w:t>NR-DC with selective activation</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93BF6">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095B22E" w14:textId="75E35BA7" w:rsidR="00477768" w:rsidRDefault="00FD4266" w:rsidP="00CE0424">
      <w:pPr>
        <w:pStyle w:val="BodyText"/>
      </w:pPr>
      <w:r>
        <w:t xml:space="preserve">The Rel-18 work on further NR mobility enhancements is described in the WID in </w:t>
      </w:r>
      <w:r>
        <w:fldChar w:fldCharType="begin"/>
      </w:r>
      <w:r>
        <w:instrText xml:space="preserve"> REF _Ref107489175 \r \h </w:instrText>
      </w:r>
      <w:r>
        <w:fldChar w:fldCharType="separate"/>
      </w:r>
      <w:r>
        <w:t>[1]</w:t>
      </w:r>
      <w:r>
        <w:fldChar w:fldCharType="end"/>
      </w:r>
      <w:r>
        <w:t>. It includes</w:t>
      </w:r>
      <w:r w:rsidR="00987F1F">
        <w:t>, among others,</w:t>
      </w:r>
      <w:r>
        <w:t xml:space="preserve"> </w:t>
      </w:r>
      <w:r w:rsidR="00987F1F">
        <w:t xml:space="preserve">an </w:t>
      </w:r>
      <w:r>
        <w:t xml:space="preserve">objective related to </w:t>
      </w:r>
      <w:r w:rsidR="00761C9F">
        <w:t xml:space="preserve">enhancements for </w:t>
      </w:r>
      <w:proofErr w:type="spellStart"/>
      <w:r w:rsidR="00761C9F">
        <w:t>PSCell</w:t>
      </w:r>
      <w:proofErr w:type="spellEnd"/>
      <w:r w:rsidR="00761C9F">
        <w:t xml:space="preserve"> </w:t>
      </w:r>
      <w:r>
        <w:t xml:space="preserve">mobility </w:t>
      </w:r>
      <w:r w:rsidR="00761C9F">
        <w:t>in case of NR-DC configurations</w:t>
      </w:r>
      <w:r w:rsidR="00987F1F">
        <w:t xml:space="preserve"> (objective 2)</w:t>
      </w:r>
      <w:r>
        <w:t>:</w:t>
      </w:r>
    </w:p>
    <w:p w14:paraId="2F24C594" w14:textId="77777777" w:rsidR="00FD4266" w:rsidRDefault="00FD4266" w:rsidP="00261C7F">
      <w:pPr>
        <w:numPr>
          <w:ilvl w:val="0"/>
          <w:numId w:val="23"/>
        </w:numPr>
        <w:spacing w:after="0"/>
        <w:jc w:val="both"/>
        <w:rPr>
          <w:bCs/>
          <w:lang w:val="en-US"/>
        </w:rPr>
      </w:pPr>
      <w:r>
        <w:rPr>
          <w:bCs/>
          <w:lang w:val="en-US"/>
        </w:rPr>
        <w:t>To specify mechanism and procedures of NR-DC with selective activation of the cell groups (at least for SCG) via L3 enhancements:</w:t>
      </w:r>
    </w:p>
    <w:p w14:paraId="30BC9C5A" w14:textId="77777777" w:rsidR="00FD4266" w:rsidRDefault="00FD4266" w:rsidP="00FD4266">
      <w:pPr>
        <w:numPr>
          <w:ilvl w:val="0"/>
          <w:numId w:val="24"/>
        </w:numPr>
        <w:spacing w:after="0"/>
        <w:jc w:val="both"/>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4EC6FD83" w14:textId="77777777" w:rsidR="00FD4266" w:rsidRPr="00F736B4" w:rsidRDefault="00FD4266" w:rsidP="00FD4266">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02F7CD26" w14:textId="0762F78D" w:rsidR="00FD4266" w:rsidRDefault="00FD4266" w:rsidP="00CE0424">
      <w:pPr>
        <w:pStyle w:val="BodyText"/>
      </w:pPr>
    </w:p>
    <w:p w14:paraId="7ABF8C2C" w14:textId="14108882" w:rsidR="001A4729" w:rsidRDefault="001A4729" w:rsidP="00CE0424">
      <w:pPr>
        <w:pStyle w:val="BodyText"/>
      </w:pPr>
      <w:r>
        <w:t xml:space="preserve">The WID in </w:t>
      </w:r>
      <w:r>
        <w:fldChar w:fldCharType="begin"/>
      </w:r>
      <w:r>
        <w:instrText xml:space="preserve"> REF _Ref107489175 \r \h </w:instrText>
      </w:r>
      <w:r>
        <w:fldChar w:fldCharType="separate"/>
      </w:r>
      <w:r>
        <w:t>[1]</w:t>
      </w:r>
      <w:r>
        <w:fldChar w:fldCharType="end"/>
      </w:r>
      <w:r>
        <w:t xml:space="preserve"> also includes the following justification related to the above objective:</w:t>
      </w:r>
    </w:p>
    <w:p w14:paraId="032004CC" w14:textId="77777777" w:rsidR="001A4729" w:rsidRPr="001A4729" w:rsidRDefault="001A4729" w:rsidP="001A4729">
      <w:pPr>
        <w:spacing w:before="120" w:after="0"/>
        <w:ind w:left="567"/>
        <w:rPr>
          <w:bCs/>
          <w:i/>
          <w:iCs/>
        </w:rPr>
      </w:pPr>
      <w:r w:rsidRPr="001A4729">
        <w:rPr>
          <w:bCs/>
          <w:i/>
          <w:iCs/>
        </w:rPr>
        <w:t xml:space="preserve">In Rel-17 Conditional </w:t>
      </w:r>
      <w:proofErr w:type="spellStart"/>
      <w:r w:rsidRPr="001A4729">
        <w:rPr>
          <w:bCs/>
          <w:i/>
          <w:iCs/>
        </w:rPr>
        <w:t>PSCell</w:t>
      </w:r>
      <w:proofErr w:type="spellEnd"/>
      <w:r w:rsidRPr="001A4729">
        <w:rPr>
          <w:bCs/>
          <w:i/>
          <w:iCs/>
        </w:rPr>
        <w:t xml:space="preserve"> change (CPC)/Conditional </w:t>
      </w:r>
      <w:proofErr w:type="spellStart"/>
      <w:r w:rsidRPr="001A4729">
        <w:rPr>
          <w:bCs/>
          <w:i/>
          <w:iCs/>
        </w:rPr>
        <w:t>PSCell</w:t>
      </w:r>
      <w:proofErr w:type="spellEnd"/>
      <w:r w:rsidRPr="001A4729">
        <w:rPr>
          <w:bCs/>
          <w:i/>
          <w:iCs/>
        </w:rPr>
        <w:t xml:space="preserve"> addition (CPA), a CPC/CPA-configured UE </w:t>
      </w:r>
      <w:proofErr w:type="gramStart"/>
      <w:r w:rsidRPr="001A4729">
        <w:rPr>
          <w:bCs/>
          <w:i/>
          <w:iCs/>
        </w:rPr>
        <w:t>has to</w:t>
      </w:r>
      <w:proofErr w:type="gramEnd"/>
      <w:r w:rsidRPr="001A4729">
        <w:rPr>
          <w:bCs/>
          <w:i/>
          <w:iCs/>
        </w:rPr>
        <w:t xml:space="preserve"> release the CPC/CPA configurations when completing random access towards the target </w:t>
      </w:r>
      <w:proofErr w:type="spellStart"/>
      <w:r w:rsidRPr="001A4729">
        <w:rPr>
          <w:bCs/>
          <w:i/>
          <w:iCs/>
        </w:rPr>
        <w:t>PSCell</w:t>
      </w:r>
      <w:proofErr w:type="spellEnd"/>
      <w:r w:rsidRPr="001A4729">
        <w:rPr>
          <w:bCs/>
          <w:i/>
          <w:iCs/>
        </w:rPr>
        <w:t>. Hence the UE doesn’t have a chance to perform subsequent</w:t>
      </w:r>
      <w:r w:rsidRPr="001A4729">
        <w:rPr>
          <w:rFonts w:hint="eastAsia"/>
          <w:bCs/>
          <w:i/>
          <w:iCs/>
        </w:rPr>
        <w:t xml:space="preserve"> </w:t>
      </w:r>
      <w:r w:rsidRPr="001A4729">
        <w:rPr>
          <w:bCs/>
          <w:i/>
          <w:iCs/>
        </w:rPr>
        <w:t>CPC/CPA without prior CPC/CPA reconfiguration and re-initialization from the network. This will increase the</w:t>
      </w:r>
      <w:r w:rsidRPr="001A4729">
        <w:rPr>
          <w:rFonts w:hint="eastAsia"/>
          <w:bCs/>
          <w:i/>
          <w:iCs/>
        </w:rPr>
        <w:t xml:space="preserve"> </w:t>
      </w:r>
      <w:r w:rsidRPr="001A4729">
        <w:rPr>
          <w:bCs/>
          <w:i/>
          <w:iCs/>
        </w:rPr>
        <w:t xml:space="preserve">delay for the cell change and increase the </w:t>
      </w:r>
      <w:proofErr w:type="spellStart"/>
      <w:r w:rsidRPr="001A4729">
        <w:rPr>
          <w:bCs/>
          <w:i/>
          <w:iCs/>
        </w:rPr>
        <w:t>signaling</w:t>
      </w:r>
      <w:proofErr w:type="spellEnd"/>
      <w:r w:rsidRPr="001A4729">
        <w:rPr>
          <w:bCs/>
          <w:i/>
          <w:iCs/>
        </w:rPr>
        <w:t xml:space="preserve"> overhead, especially in the case of frequent SCG changes when</w:t>
      </w:r>
      <w:r w:rsidRPr="001A4729">
        <w:rPr>
          <w:rFonts w:hint="eastAsia"/>
          <w:bCs/>
          <w:i/>
          <w:iCs/>
        </w:rPr>
        <w:t xml:space="preserve"> </w:t>
      </w:r>
      <w:r w:rsidRPr="001A4729">
        <w:rPr>
          <w:bCs/>
          <w:i/>
          <w:iCs/>
        </w:rPr>
        <w:t>operating FR2. Therefore, MR-DC with selective activation of cell groups aims at enabling</w:t>
      </w:r>
      <w:r w:rsidRPr="001A4729">
        <w:rPr>
          <w:rFonts w:hint="eastAsia"/>
          <w:bCs/>
          <w:i/>
          <w:iCs/>
        </w:rPr>
        <w:t xml:space="preserve"> </w:t>
      </w:r>
      <w:r w:rsidRPr="001A4729">
        <w:rPr>
          <w:bCs/>
          <w:i/>
          <w:iCs/>
        </w:rPr>
        <w:t>subsequent CPC/CPA after SCG change, without reconfiguration and re-initialization on the CPC/CPA</w:t>
      </w:r>
      <w:r w:rsidRPr="001A4729">
        <w:rPr>
          <w:rFonts w:hint="eastAsia"/>
          <w:bCs/>
          <w:i/>
          <w:iCs/>
        </w:rPr>
        <w:t xml:space="preserve"> </w:t>
      </w:r>
      <w:r w:rsidRPr="001A4729">
        <w:rPr>
          <w:bCs/>
          <w:i/>
          <w:iCs/>
        </w:rPr>
        <w:t>preparation from the network. This results in a reduction of the signalling overhead and interrupting time for SCG change.</w:t>
      </w:r>
    </w:p>
    <w:p w14:paraId="19F316A2" w14:textId="77777777" w:rsidR="001A4729" w:rsidRDefault="001A4729" w:rsidP="00CE0424">
      <w:pPr>
        <w:pStyle w:val="BodyText"/>
      </w:pPr>
    </w:p>
    <w:p w14:paraId="235AAB4E" w14:textId="052031F0" w:rsidR="00150866" w:rsidRDefault="00150866" w:rsidP="00CE0424">
      <w:pPr>
        <w:pStyle w:val="BodyText"/>
      </w:pPr>
      <w:r>
        <w:t>There were some discussions at the RAN</w:t>
      </w:r>
      <w:r w:rsidR="00620BAF">
        <w:t>2</w:t>
      </w:r>
      <w:r>
        <w:t>#119-e meeting with the following agreements reached for objective 2:</w:t>
      </w:r>
    </w:p>
    <w:p w14:paraId="00A8E86F" w14:textId="77777777" w:rsidR="00150866" w:rsidRPr="00D46678" w:rsidRDefault="00150866" w:rsidP="00150866">
      <w:pPr>
        <w:pStyle w:val="Agreement"/>
        <w:tabs>
          <w:tab w:val="clear" w:pos="1619"/>
          <w:tab w:val="num" w:pos="927"/>
        </w:tabs>
        <w:ind w:left="927"/>
        <w:rPr>
          <w:lang w:val="en-US"/>
        </w:rPr>
      </w:pPr>
      <w:bookmarkStart w:id="0" w:name="_Hlk114493814"/>
      <w:r>
        <w:t xml:space="preserve">The selective activation of cell groups should correspond to support of subsequent conditional changes (CPC) after a cell group change (normal or conditional). CPA FFS. </w:t>
      </w:r>
    </w:p>
    <w:bookmarkEnd w:id="0"/>
    <w:p w14:paraId="6AE9A717" w14:textId="77777777" w:rsidR="00150866" w:rsidRPr="00D46678" w:rsidRDefault="00150866" w:rsidP="00150866">
      <w:pPr>
        <w:pStyle w:val="Agreement"/>
        <w:tabs>
          <w:tab w:val="clear" w:pos="1619"/>
          <w:tab w:val="num" w:pos="927"/>
        </w:tabs>
        <w:ind w:left="927"/>
        <w:rPr>
          <w:lang w:val="en-US"/>
        </w:rPr>
      </w:pPr>
      <w:r>
        <w:rPr>
          <w:lang w:val="en-US"/>
        </w:rPr>
        <w:t>Initial focus on SCG</w:t>
      </w:r>
    </w:p>
    <w:p w14:paraId="20BC031D" w14:textId="77777777" w:rsidR="00150866" w:rsidRDefault="00150866" w:rsidP="00150866">
      <w:pPr>
        <w:pStyle w:val="Agreement"/>
        <w:tabs>
          <w:tab w:val="clear" w:pos="1619"/>
          <w:tab w:val="num" w:pos="927"/>
        </w:tabs>
        <w:ind w:left="927"/>
      </w:pPr>
      <w:r>
        <w:t>There is interest to support delta configuration, to reduce the signalling overhead (FFS if some other objective should be achieved)</w:t>
      </w:r>
    </w:p>
    <w:p w14:paraId="67D021CF" w14:textId="77777777" w:rsidR="00150866" w:rsidRDefault="00150866" w:rsidP="00150866">
      <w:pPr>
        <w:pStyle w:val="Agreement"/>
        <w:tabs>
          <w:tab w:val="clear" w:pos="1619"/>
          <w:tab w:val="num" w:pos="927"/>
        </w:tabs>
        <w:ind w:left="927"/>
        <w:rPr>
          <w:lang w:val="en-US"/>
        </w:rPr>
      </w:pPr>
      <w:r>
        <w:rPr>
          <w:lang w:val="en-US"/>
        </w:rPr>
        <w:t xml:space="preserve">FFS how many subsequent conditional changes are targeted (and what is the impact of such assumption). </w:t>
      </w:r>
    </w:p>
    <w:p w14:paraId="36ADFDD5" w14:textId="77777777" w:rsidR="00150866" w:rsidRDefault="00150866" w:rsidP="00150866">
      <w:pPr>
        <w:pStyle w:val="Doc-text2"/>
        <w:ind w:left="0" w:firstLine="0"/>
        <w:rPr>
          <w:lang w:val="en-US"/>
        </w:rPr>
      </w:pPr>
    </w:p>
    <w:p w14:paraId="4BEFA2FA" w14:textId="77777777" w:rsidR="00150866" w:rsidRDefault="00150866" w:rsidP="00150866">
      <w:pPr>
        <w:pStyle w:val="Agreement"/>
        <w:tabs>
          <w:tab w:val="clear" w:pos="1619"/>
          <w:tab w:val="num" w:pos="927"/>
        </w:tabs>
        <w:ind w:left="927"/>
      </w:pPr>
      <w:r>
        <w:t xml:space="preserve">FFS whether there is a security issue: </w:t>
      </w:r>
      <w:proofErr w:type="gramStart"/>
      <w:r>
        <w:t>e.g.</w:t>
      </w:r>
      <w:proofErr w:type="gramEnd"/>
      <w:r>
        <w:t xml:space="preserve">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p>
    <w:p w14:paraId="257D8D7F" w14:textId="77777777" w:rsidR="00150866" w:rsidRDefault="00150866" w:rsidP="00CE0424">
      <w:pPr>
        <w:pStyle w:val="BodyText"/>
      </w:pPr>
    </w:p>
    <w:p w14:paraId="7205332E" w14:textId="16EABB90" w:rsidR="00620BAF" w:rsidRPr="00620BAF" w:rsidRDefault="00620BAF" w:rsidP="00620BAF">
      <w:pPr>
        <w:pStyle w:val="BodyText"/>
        <w:ind w:left="360"/>
      </w:pPr>
      <w:r>
        <w:rPr>
          <w:lang w:val="en-US"/>
        </w:rPr>
        <w:lastRenderedPageBreak/>
        <w:t xml:space="preserve">There were also discussions at </w:t>
      </w:r>
      <w:r w:rsidRPr="00620BAF">
        <w:rPr>
          <w:lang w:val="en-US"/>
        </w:rPr>
        <w:t>RAN3#117-e</w:t>
      </w:r>
      <w:r>
        <w:rPr>
          <w:lang w:val="en-US"/>
        </w:rPr>
        <w:t>, with the following</w:t>
      </w:r>
      <w:r w:rsidRPr="00620BAF">
        <w:rPr>
          <w:lang w:val="en-US"/>
        </w:rPr>
        <w:t xml:space="preserve"> agreements</w:t>
      </w:r>
      <w:r>
        <w:rPr>
          <w:lang w:val="en-US"/>
        </w:rPr>
        <w:t xml:space="preserve"> and working assumptions:</w:t>
      </w:r>
    </w:p>
    <w:p w14:paraId="4C895270" w14:textId="77777777" w:rsidR="00620BAF" w:rsidRPr="00620BAF" w:rsidRDefault="00620BAF" w:rsidP="00620BAF">
      <w:pPr>
        <w:pStyle w:val="BodyText"/>
        <w:numPr>
          <w:ilvl w:val="0"/>
          <w:numId w:val="31"/>
        </w:numPr>
      </w:pPr>
      <w:r w:rsidRPr="00620BAF">
        <w:rPr>
          <w:b/>
          <w:bCs/>
          <w:lang w:val="en-US"/>
        </w:rPr>
        <w:t>RAN3 considers SCG selective activation is prioritized in the Rel-18 work. It can be revisited based on RAN2 progress.</w:t>
      </w:r>
    </w:p>
    <w:p w14:paraId="4B2C6DBA" w14:textId="77777777" w:rsidR="00620BAF" w:rsidRPr="00620BAF" w:rsidRDefault="00620BAF" w:rsidP="00620BAF">
      <w:pPr>
        <w:pStyle w:val="BodyText"/>
        <w:numPr>
          <w:ilvl w:val="0"/>
          <w:numId w:val="31"/>
        </w:numPr>
      </w:pPr>
      <w:r w:rsidRPr="00620BAF">
        <w:rPr>
          <w:b/>
          <w:bCs/>
          <w:lang w:val="en-US"/>
        </w:rPr>
        <w:t xml:space="preserve">WA: RAN3 considers the Inter-CU and Intra-CU cases with equal priority, and studies both the F1 and </w:t>
      </w:r>
      <w:proofErr w:type="spellStart"/>
      <w:r w:rsidRPr="00620BAF">
        <w:rPr>
          <w:b/>
          <w:bCs/>
          <w:lang w:val="en-US"/>
        </w:rPr>
        <w:t>Xn</w:t>
      </w:r>
      <w:proofErr w:type="spellEnd"/>
      <w:r w:rsidRPr="00620BAF">
        <w:rPr>
          <w:b/>
          <w:bCs/>
          <w:lang w:val="en-US"/>
        </w:rPr>
        <w:t xml:space="preserve"> signaling aspects. It can be revisited based on RAN2 progress.</w:t>
      </w:r>
    </w:p>
    <w:p w14:paraId="027A46A6" w14:textId="77777777" w:rsidR="00620BAF" w:rsidRPr="00620BAF" w:rsidRDefault="00620BAF" w:rsidP="00620BAF">
      <w:pPr>
        <w:pStyle w:val="BodyText"/>
        <w:numPr>
          <w:ilvl w:val="0"/>
          <w:numId w:val="31"/>
        </w:numPr>
      </w:pPr>
      <w:r w:rsidRPr="00620BAF">
        <w:rPr>
          <w:b/>
          <w:bCs/>
          <w:lang w:val="en-US"/>
        </w:rPr>
        <w:t>From RAN3 point of view, Rel-16/Rel-17 CPAC procedures are considered as start point for the Rel-18 work.</w:t>
      </w:r>
    </w:p>
    <w:p w14:paraId="27F50C1F" w14:textId="77777777" w:rsidR="00620BAF" w:rsidRPr="00620BAF" w:rsidRDefault="00620BAF" w:rsidP="00620BAF">
      <w:pPr>
        <w:pStyle w:val="BodyText"/>
        <w:numPr>
          <w:ilvl w:val="0"/>
          <w:numId w:val="31"/>
        </w:numPr>
      </w:pPr>
      <w:r w:rsidRPr="00620BAF">
        <w:rPr>
          <w:b/>
          <w:bCs/>
          <w:lang w:val="en-US"/>
        </w:rPr>
        <w:t>The following scenarios are depending on RAN2 progress.</w:t>
      </w:r>
    </w:p>
    <w:p w14:paraId="7EDED57B" w14:textId="77777777" w:rsidR="00620BAF" w:rsidRPr="00620BAF" w:rsidRDefault="00620BAF" w:rsidP="00620BAF">
      <w:pPr>
        <w:pStyle w:val="BodyText"/>
        <w:numPr>
          <w:ilvl w:val="1"/>
          <w:numId w:val="31"/>
        </w:numPr>
      </w:pPr>
      <w:r w:rsidRPr="00620BAF">
        <w:rPr>
          <w:b/>
          <w:bCs/>
          <w:lang w:val="en-US"/>
        </w:rPr>
        <w:t xml:space="preserve">SCG failure handling enhancements to enable </w:t>
      </w:r>
      <w:proofErr w:type="spellStart"/>
      <w:r w:rsidRPr="00620BAF">
        <w:rPr>
          <w:b/>
          <w:bCs/>
          <w:lang w:val="en-US"/>
        </w:rPr>
        <w:t>PSCell</w:t>
      </w:r>
      <w:proofErr w:type="spellEnd"/>
      <w:r w:rsidRPr="00620BAF">
        <w:rPr>
          <w:b/>
          <w:bCs/>
          <w:lang w:val="en-US"/>
        </w:rPr>
        <w:t xml:space="preserve"> addition and </w:t>
      </w:r>
      <w:proofErr w:type="spellStart"/>
      <w:r w:rsidRPr="00620BAF">
        <w:rPr>
          <w:b/>
          <w:bCs/>
          <w:lang w:val="en-US"/>
        </w:rPr>
        <w:t>PSCell</w:t>
      </w:r>
      <w:proofErr w:type="spellEnd"/>
      <w:r w:rsidRPr="00620BAF">
        <w:rPr>
          <w:b/>
          <w:bCs/>
          <w:lang w:val="en-US"/>
        </w:rPr>
        <w:t xml:space="preserve"> change after SCG failure.</w:t>
      </w:r>
    </w:p>
    <w:p w14:paraId="45B0C6D2" w14:textId="77777777" w:rsidR="00620BAF" w:rsidRPr="00620BAF" w:rsidRDefault="00620BAF" w:rsidP="00620BAF">
      <w:pPr>
        <w:pStyle w:val="BodyText"/>
        <w:numPr>
          <w:ilvl w:val="1"/>
          <w:numId w:val="31"/>
        </w:numPr>
      </w:pPr>
      <w:r w:rsidRPr="00620BAF">
        <w:rPr>
          <w:b/>
          <w:bCs/>
          <w:lang w:val="en-US"/>
        </w:rPr>
        <w:t>Signaling support for inclusion of CPC configuration within a CPC or CPA configuration, in case CPC/CPA configuration is supported within CHO configuration.</w:t>
      </w:r>
    </w:p>
    <w:p w14:paraId="41FB9A8C" w14:textId="13850CEA" w:rsidR="00620BAF" w:rsidRPr="00620BAF" w:rsidRDefault="00620BAF" w:rsidP="00CE0424">
      <w:pPr>
        <w:pStyle w:val="BodyText"/>
        <w:numPr>
          <w:ilvl w:val="0"/>
          <w:numId w:val="31"/>
        </w:numPr>
      </w:pPr>
      <w:r w:rsidRPr="00620BAF">
        <w:rPr>
          <w:b/>
          <w:bCs/>
          <w:lang w:val="en-US"/>
        </w:rPr>
        <w:t xml:space="preserve">WA: A primary focus of the objective is to enable subsequent cell changes by keeping conditional reconfigurations after a cell change. RAN3 to pursue study of the </w:t>
      </w:r>
      <w:proofErr w:type="spellStart"/>
      <w:r w:rsidRPr="00620BAF">
        <w:rPr>
          <w:b/>
          <w:bCs/>
          <w:lang w:val="en-US"/>
        </w:rPr>
        <w:t>Xn</w:t>
      </w:r>
      <w:proofErr w:type="spellEnd"/>
      <w:r w:rsidRPr="00620BAF">
        <w:rPr>
          <w:b/>
          <w:bCs/>
          <w:lang w:val="en-US"/>
        </w:rPr>
        <w:t>/F1 signaling changes required to support this objective.</w:t>
      </w:r>
    </w:p>
    <w:p w14:paraId="66A7BD6A" w14:textId="77777777" w:rsidR="00F64376" w:rsidRDefault="00F64376" w:rsidP="00F64376">
      <w:pPr>
        <w:pStyle w:val="BodyText"/>
      </w:pPr>
    </w:p>
    <w:p w14:paraId="5621207E" w14:textId="154CF459" w:rsidR="00F64376" w:rsidRDefault="00F64376" w:rsidP="00CE0424">
      <w:pPr>
        <w:pStyle w:val="BodyText"/>
      </w:pPr>
      <w:r>
        <w:t xml:space="preserve">In this contribution we discuss different aspects and open issues for objective 2 in the WID on Rel-18 work on further NR mobility enhancements (in </w:t>
      </w:r>
      <w:r>
        <w:fldChar w:fldCharType="begin"/>
      </w:r>
      <w:r>
        <w:instrText xml:space="preserve"> REF _Ref107489175 \r \h </w:instrText>
      </w:r>
      <w:r>
        <w:fldChar w:fldCharType="separate"/>
      </w:r>
      <w:r>
        <w:t>[1]</w:t>
      </w:r>
      <w:r>
        <w:fldChar w:fldCharType="end"/>
      </w:r>
      <w:r>
        <w:t>).</w:t>
      </w:r>
      <w:r w:rsidR="00032AC8">
        <w:t xml:space="preserve"> We also discuss some aspects related to objective 4.</w:t>
      </w:r>
    </w:p>
    <w:p w14:paraId="4BB0ADAB" w14:textId="77777777" w:rsidR="00F64376" w:rsidRDefault="00F64376" w:rsidP="00CE0424">
      <w:pPr>
        <w:pStyle w:val="BodyText"/>
      </w:pPr>
    </w:p>
    <w:p w14:paraId="59E13DC4" w14:textId="3DC56BBD" w:rsidR="004000E8" w:rsidRDefault="00230D18" w:rsidP="00CE0424">
      <w:pPr>
        <w:pStyle w:val="Heading1"/>
      </w:pPr>
      <w:bookmarkStart w:id="1" w:name="_Ref178064866"/>
      <w:r>
        <w:t>2</w:t>
      </w:r>
      <w:r>
        <w:tab/>
      </w:r>
      <w:r w:rsidR="004000E8" w:rsidRPr="00CE0424">
        <w:t>Discussion</w:t>
      </w:r>
      <w:bookmarkEnd w:id="1"/>
    </w:p>
    <w:p w14:paraId="3D2A8519" w14:textId="4FF66014" w:rsidR="00261C7F" w:rsidRDefault="00261C7F" w:rsidP="00261C7F">
      <w:pPr>
        <w:pStyle w:val="Heading2"/>
      </w:pPr>
      <w:r>
        <w:t>2.1</w:t>
      </w:r>
      <w:r>
        <w:tab/>
      </w:r>
      <w:r w:rsidR="00150866">
        <w:t>Targeted use cases for NR-DC with selective activation of cell groups</w:t>
      </w:r>
    </w:p>
    <w:p w14:paraId="232A7F59" w14:textId="6AD1EF8E" w:rsidR="00691710" w:rsidRDefault="00981A4B" w:rsidP="00DB3F00">
      <w:r>
        <w:t xml:space="preserve">One question from the discussions on NR-DC with selective activation was what kind of use case that is targeted, in the sense of how many subsequent </w:t>
      </w:r>
      <w:r>
        <w:rPr>
          <w:lang w:val="en-US"/>
        </w:rPr>
        <w:t xml:space="preserve">conditional changes that should be supported (without reconfiguration and </w:t>
      </w:r>
      <w:r>
        <w:rPr>
          <w:bCs/>
          <w:lang w:val="en-US"/>
        </w:rPr>
        <w:t>re-initiation of CPC/CPA), and what the impact of such assumption would be:</w:t>
      </w:r>
    </w:p>
    <w:p w14:paraId="2C7D928B" w14:textId="77777777" w:rsidR="00150866" w:rsidRDefault="00150866" w:rsidP="00150866">
      <w:pPr>
        <w:pStyle w:val="Agreement"/>
        <w:tabs>
          <w:tab w:val="clear" w:pos="1619"/>
          <w:tab w:val="num" w:pos="927"/>
        </w:tabs>
        <w:ind w:left="927"/>
        <w:rPr>
          <w:lang w:val="en-US"/>
        </w:rPr>
      </w:pPr>
      <w:r>
        <w:rPr>
          <w:lang w:val="en-US"/>
        </w:rPr>
        <w:t xml:space="preserve">FFS how many subsequent conditional changes are targeted (and what is the impact of such assumption). </w:t>
      </w:r>
    </w:p>
    <w:p w14:paraId="2DC6EC57" w14:textId="09A19234" w:rsidR="00A51647" w:rsidRDefault="00A51647" w:rsidP="00DB3F00"/>
    <w:p w14:paraId="4250D68C" w14:textId="7CB7FE0B" w:rsidR="00ED76E0" w:rsidRDefault="00ED76E0" w:rsidP="00ED76E0">
      <w:r>
        <w:t xml:space="preserve">There is currently a limitation of how many conditional reconfigurations the UE may be configured with, where the maximum number is eight. This already is a restriction and the need for specifying how many subsequential conditional reconfigurations that are targeted seems unclear. It could be up to network implementation how the conditional reconfigurations are distributed. There is </w:t>
      </w:r>
      <w:proofErr w:type="gramStart"/>
      <w:r>
        <w:t>e.g.</w:t>
      </w:r>
      <w:proofErr w:type="gramEnd"/>
      <w:r>
        <w:t xml:space="preserve"> the case that the UE should be able to move between different candidate target </w:t>
      </w:r>
      <w:proofErr w:type="spellStart"/>
      <w:r>
        <w:t>PSCells</w:t>
      </w:r>
      <w:proofErr w:type="spellEnd"/>
      <w:r>
        <w:t xml:space="preserve">, including back to a cell where it was previously located, and such case will not be covered if the number of subsequent conditional reconfigurations is e.g. limited to one. There may then however also be cases where the UE path is quite clear to the network, </w:t>
      </w:r>
      <w:proofErr w:type="gramStart"/>
      <w:r>
        <w:t>e.g.</w:t>
      </w:r>
      <w:proofErr w:type="gramEnd"/>
      <w:r>
        <w:t xml:space="preserve"> along a highway or a railway and where it may be more beneficial to have one conditional reconfigurations within another conditional reconfiguration.</w:t>
      </w:r>
    </w:p>
    <w:p w14:paraId="1CD2634E" w14:textId="08CDB63B" w:rsidR="00E74C0E" w:rsidRDefault="00E74C0E" w:rsidP="00E74C0E">
      <w:pPr>
        <w:pStyle w:val="Proposal"/>
      </w:pPr>
      <w:bookmarkStart w:id="2" w:name="_Toc115426212"/>
      <w:r>
        <w:t xml:space="preserve">There should be no </w:t>
      </w:r>
      <w:r w:rsidR="00C52C3A">
        <w:t xml:space="preserve">specified </w:t>
      </w:r>
      <w:r>
        <w:t xml:space="preserve">limit for number of </w:t>
      </w:r>
      <w:r>
        <w:rPr>
          <w:lang w:val="en-US"/>
        </w:rPr>
        <w:t>subsequent conditional changes that are supported</w:t>
      </w:r>
      <w:r>
        <w:t>.</w:t>
      </w:r>
      <w:bookmarkEnd w:id="2"/>
    </w:p>
    <w:p w14:paraId="09629364" w14:textId="77777777" w:rsidR="00E74C0E" w:rsidRDefault="00E74C0E" w:rsidP="00ED76E0"/>
    <w:p w14:paraId="37516D15" w14:textId="576714DD" w:rsidR="00981A4B" w:rsidRDefault="00981A4B" w:rsidP="00DB3F00">
      <w:r>
        <w:t xml:space="preserve">Two </w:t>
      </w:r>
      <w:r w:rsidR="000A76E5">
        <w:t>main</w:t>
      </w:r>
      <w:r>
        <w:t xml:space="preserve"> </w:t>
      </w:r>
      <w:r w:rsidR="00C33848">
        <w:t>alternatives</w:t>
      </w:r>
      <w:r>
        <w:t xml:space="preserve"> can </w:t>
      </w:r>
      <w:r w:rsidR="000A76E5">
        <w:t xml:space="preserve">then </w:t>
      </w:r>
      <w:r>
        <w:t xml:space="preserve">be identified </w:t>
      </w:r>
      <w:r w:rsidR="00C33848">
        <w:t xml:space="preserve">to achieve that </w:t>
      </w:r>
      <w:r>
        <w:t xml:space="preserve">a subsequent CPC execution procedure </w:t>
      </w:r>
      <w:r w:rsidR="00C33848">
        <w:t xml:space="preserve">can be </w:t>
      </w:r>
      <w:r>
        <w:t>performed after a first CPC execution procedure (without reconfiguration of CPC</w:t>
      </w:r>
      <w:r w:rsidR="00C33848">
        <w:t xml:space="preserve"> in between</w:t>
      </w:r>
      <w:r>
        <w:t>):</w:t>
      </w:r>
    </w:p>
    <w:p w14:paraId="49447C38" w14:textId="246DECB0" w:rsidR="00981A4B" w:rsidRDefault="00981A4B" w:rsidP="00981A4B">
      <w:pPr>
        <w:pStyle w:val="ListParagraph"/>
        <w:numPr>
          <w:ilvl w:val="0"/>
          <w:numId w:val="28"/>
        </w:numPr>
        <w:rPr>
          <w:rFonts w:ascii="Times New Roman" w:hAnsi="Times New Roman"/>
          <w:sz w:val="20"/>
          <w:szCs w:val="20"/>
          <w:lang w:val="en-US"/>
        </w:rPr>
      </w:pPr>
      <w:r w:rsidRPr="00981A4B">
        <w:rPr>
          <w:rFonts w:ascii="Times New Roman" w:hAnsi="Times New Roman"/>
          <w:sz w:val="20"/>
          <w:szCs w:val="20"/>
          <w:lang w:val="en-US"/>
        </w:rPr>
        <w:t xml:space="preserve">The first </w:t>
      </w:r>
      <w:r>
        <w:rPr>
          <w:rFonts w:ascii="Times New Roman" w:hAnsi="Times New Roman"/>
          <w:sz w:val="20"/>
          <w:szCs w:val="20"/>
          <w:lang w:val="en-US"/>
        </w:rPr>
        <w:t xml:space="preserve">CPC configuration includes </w:t>
      </w:r>
      <w:r w:rsidR="00C33848">
        <w:rPr>
          <w:rFonts w:ascii="Times New Roman" w:hAnsi="Times New Roman"/>
          <w:sz w:val="20"/>
          <w:szCs w:val="20"/>
          <w:lang w:val="en-US"/>
        </w:rPr>
        <w:t xml:space="preserve">one or more </w:t>
      </w:r>
      <w:r>
        <w:rPr>
          <w:rFonts w:ascii="Times New Roman" w:hAnsi="Times New Roman"/>
          <w:sz w:val="20"/>
          <w:szCs w:val="20"/>
          <w:lang w:val="en-US"/>
        </w:rPr>
        <w:t>other CPC configuration (</w:t>
      </w:r>
      <w:r w:rsidR="00C33848">
        <w:rPr>
          <w:rFonts w:ascii="Times New Roman" w:hAnsi="Times New Roman"/>
          <w:sz w:val="20"/>
          <w:szCs w:val="20"/>
          <w:lang w:val="en-US"/>
        </w:rPr>
        <w:t>“</w:t>
      </w:r>
      <w:r>
        <w:rPr>
          <w:rFonts w:ascii="Times New Roman" w:hAnsi="Times New Roman"/>
          <w:sz w:val="20"/>
          <w:szCs w:val="20"/>
          <w:lang w:val="en-US"/>
        </w:rPr>
        <w:t>CPC within CPC</w:t>
      </w:r>
      <w:r w:rsidR="00C33848">
        <w:rPr>
          <w:rFonts w:ascii="Times New Roman" w:hAnsi="Times New Roman"/>
          <w:sz w:val="20"/>
          <w:szCs w:val="20"/>
          <w:lang w:val="en-US"/>
        </w:rPr>
        <w:t>”</w:t>
      </w:r>
      <w:r>
        <w:rPr>
          <w:rFonts w:ascii="Times New Roman" w:hAnsi="Times New Roman"/>
          <w:sz w:val="20"/>
          <w:szCs w:val="20"/>
          <w:lang w:val="en-US"/>
        </w:rPr>
        <w:t>)</w:t>
      </w:r>
      <w:r w:rsidR="00C33848">
        <w:rPr>
          <w:rFonts w:ascii="Times New Roman" w:hAnsi="Times New Roman"/>
          <w:sz w:val="20"/>
          <w:szCs w:val="20"/>
          <w:lang w:val="en-US"/>
        </w:rPr>
        <w:t>, so that the UE thus is configured with CPC after applying the first CPC configuration</w:t>
      </w:r>
    </w:p>
    <w:p w14:paraId="7EBD2E89" w14:textId="2A4ABAE3" w:rsidR="00981A4B" w:rsidRPr="00981A4B" w:rsidRDefault="00981A4B" w:rsidP="00981A4B">
      <w:pPr>
        <w:pStyle w:val="ListParagraph"/>
        <w:numPr>
          <w:ilvl w:val="0"/>
          <w:numId w:val="28"/>
        </w:numPr>
        <w:rPr>
          <w:rFonts w:ascii="Times New Roman" w:hAnsi="Times New Roman"/>
          <w:sz w:val="20"/>
          <w:szCs w:val="20"/>
          <w:lang w:val="en-US"/>
        </w:rPr>
      </w:pPr>
      <w:r>
        <w:rPr>
          <w:rFonts w:ascii="Times New Roman" w:hAnsi="Times New Roman"/>
          <w:sz w:val="20"/>
          <w:szCs w:val="20"/>
          <w:lang w:val="en-US"/>
        </w:rPr>
        <w:lastRenderedPageBreak/>
        <w:t>The UE is configured with multiple CPC configurations (more than one) and keeps the CPC configurations when it executes one of them. The UE can then later execute one of the other CPC configurations, and after that one of the other, and so on…</w:t>
      </w:r>
    </w:p>
    <w:p w14:paraId="4A58953F" w14:textId="3003EE9C" w:rsidR="00981A4B" w:rsidRDefault="00981A4B" w:rsidP="00DB3F00"/>
    <w:p w14:paraId="361B9395" w14:textId="69C4EB80" w:rsidR="0010754C" w:rsidRDefault="0010754C" w:rsidP="00DB3F00">
      <w:r>
        <w:t xml:space="preserve">RAN3 </w:t>
      </w:r>
      <w:r w:rsidR="00C33848">
        <w:t xml:space="preserve">reached the following </w:t>
      </w:r>
      <w:r>
        <w:t>working assumption</w:t>
      </w:r>
      <w:r w:rsidR="000A76E5">
        <w:t xml:space="preserve"> </w:t>
      </w:r>
      <w:r w:rsidR="00E74C0E">
        <w:t>regarding the solution for NR-DC with selective activation</w:t>
      </w:r>
      <w:r>
        <w:t>:</w:t>
      </w:r>
    </w:p>
    <w:p w14:paraId="7179FA00" w14:textId="77777777" w:rsidR="0010754C" w:rsidRPr="00620BAF" w:rsidRDefault="0010754C" w:rsidP="0010754C">
      <w:pPr>
        <w:pStyle w:val="BodyText"/>
        <w:numPr>
          <w:ilvl w:val="0"/>
          <w:numId w:val="31"/>
        </w:numPr>
      </w:pPr>
      <w:r w:rsidRPr="00620BAF">
        <w:rPr>
          <w:b/>
          <w:bCs/>
          <w:lang w:val="en-US"/>
        </w:rPr>
        <w:t xml:space="preserve">WA: A primary focus of the objective is to enable subsequent cell changes by keeping conditional reconfigurations after a cell change. RAN3 to pursue study of the </w:t>
      </w:r>
      <w:proofErr w:type="spellStart"/>
      <w:r w:rsidRPr="00620BAF">
        <w:rPr>
          <w:b/>
          <w:bCs/>
          <w:lang w:val="en-US"/>
        </w:rPr>
        <w:t>Xn</w:t>
      </w:r>
      <w:proofErr w:type="spellEnd"/>
      <w:r w:rsidRPr="00620BAF">
        <w:rPr>
          <w:b/>
          <w:bCs/>
          <w:lang w:val="en-US"/>
        </w:rPr>
        <w:t>/F1 signaling changes required to support this objective.</w:t>
      </w:r>
    </w:p>
    <w:p w14:paraId="3CCA913F" w14:textId="3FFCF26B" w:rsidR="00AF26F5" w:rsidRDefault="00AF26F5" w:rsidP="00DB3F00"/>
    <w:p w14:paraId="6796B857" w14:textId="0CFFB42A" w:rsidR="00ED76E0" w:rsidRDefault="00ED76E0" w:rsidP="00DB3F00">
      <w:r>
        <w:t xml:space="preserve">The RAN3 working assumption is thus to achieve the subsequent CPC procedures by keeping, </w:t>
      </w:r>
      <w:proofErr w:type="gramStart"/>
      <w:r>
        <w:t>i.e.</w:t>
      </w:r>
      <w:proofErr w:type="gramEnd"/>
      <w:r>
        <w:t xml:space="preserve"> not releasing, CPC configurations at cell group changes. This is also the mechanism that allows for multiple </w:t>
      </w:r>
      <w:proofErr w:type="spellStart"/>
      <w:r>
        <w:t>PSCell</w:t>
      </w:r>
      <w:proofErr w:type="spellEnd"/>
      <w:r>
        <w:t xml:space="preserve"> changes without reconfiguration. </w:t>
      </w:r>
      <w:r w:rsidR="00DD4519">
        <w:t xml:space="preserve">The UE should then </w:t>
      </w:r>
      <w:r w:rsidR="00E35C86">
        <w:t xml:space="preserve">also </w:t>
      </w:r>
      <w:r w:rsidR="00DD4519">
        <w:t xml:space="preserve">be able to </w:t>
      </w:r>
      <w:r w:rsidR="00C9037C">
        <w:t>keep</w:t>
      </w:r>
      <w:r w:rsidR="00E35C86">
        <w:t xml:space="preserve"> a CPC configuration </w:t>
      </w:r>
      <w:r w:rsidR="00976D6E">
        <w:t xml:space="preserve">that has been executed. </w:t>
      </w:r>
      <w:r w:rsidR="00007A82">
        <w:t>If instead</w:t>
      </w:r>
      <w:r w:rsidR="000A76E5">
        <w:t xml:space="preserve"> </w:t>
      </w:r>
      <w:r>
        <w:t xml:space="preserve">including CPC configurations within a first CPC configuration </w:t>
      </w:r>
      <w:r w:rsidR="000A76E5">
        <w:t xml:space="preserve">there </w:t>
      </w:r>
      <w:r>
        <w:t xml:space="preserve">would implicitly </w:t>
      </w:r>
      <w:r w:rsidR="000A76E5">
        <w:t xml:space="preserve">be a </w:t>
      </w:r>
      <w:r>
        <w:t xml:space="preserve">limit </w:t>
      </w:r>
      <w:r w:rsidR="000A76E5">
        <w:t xml:space="preserve">in </w:t>
      </w:r>
      <w:r>
        <w:t>number of subsequent steps that are possible.</w:t>
      </w:r>
    </w:p>
    <w:p w14:paraId="04A15AA1" w14:textId="0F608DBA" w:rsidR="0010754C" w:rsidRDefault="00850627" w:rsidP="00691710">
      <w:pPr>
        <w:pStyle w:val="Proposal"/>
      </w:pPr>
      <w:bookmarkStart w:id="3" w:name="_Toc115426213"/>
      <w:r>
        <w:t xml:space="preserve">It should be possible for the </w:t>
      </w:r>
      <w:r w:rsidR="0010754C">
        <w:t xml:space="preserve">UE </w:t>
      </w:r>
      <w:r>
        <w:t xml:space="preserve">to </w:t>
      </w:r>
      <w:r w:rsidR="0010754C">
        <w:t>keep</w:t>
      </w:r>
      <w:r w:rsidR="00997D5F">
        <w:t xml:space="preserve">, </w:t>
      </w:r>
      <w:proofErr w:type="gramStart"/>
      <w:r w:rsidR="00997D5F">
        <w:t>i.e.</w:t>
      </w:r>
      <w:proofErr w:type="gramEnd"/>
      <w:r w:rsidR="00997D5F">
        <w:t xml:space="preserve"> not release,</w:t>
      </w:r>
      <w:r w:rsidR="0010754C">
        <w:t xml:space="preserve"> CPC configurations after cell group changes (normal or conditional)</w:t>
      </w:r>
      <w:r>
        <w:t xml:space="preserve"> in order to support </w:t>
      </w:r>
      <w:r>
        <w:rPr>
          <w:lang w:val="en-US"/>
        </w:rPr>
        <w:t xml:space="preserve">subsequent Conditional </w:t>
      </w:r>
      <w:proofErr w:type="spellStart"/>
      <w:r>
        <w:rPr>
          <w:lang w:val="en-US"/>
        </w:rPr>
        <w:t>PSCell</w:t>
      </w:r>
      <w:proofErr w:type="spellEnd"/>
      <w:r>
        <w:rPr>
          <w:lang w:val="en-US"/>
        </w:rPr>
        <w:t xml:space="preserve"> Changes</w:t>
      </w:r>
      <w:r w:rsidR="0010754C">
        <w:t>.</w:t>
      </w:r>
      <w:bookmarkEnd w:id="3"/>
    </w:p>
    <w:p w14:paraId="381ABB02" w14:textId="61FCAF3F" w:rsidR="00691710" w:rsidRDefault="00691710" w:rsidP="00DB3F00">
      <w:pPr>
        <w:rPr>
          <w:highlight w:val="yellow"/>
        </w:rPr>
      </w:pPr>
    </w:p>
    <w:p w14:paraId="0FBD6FAF" w14:textId="19DDF584" w:rsidR="00FE122E" w:rsidRDefault="00FE122E" w:rsidP="00FE122E">
      <w:pPr>
        <w:pStyle w:val="Heading2"/>
      </w:pPr>
      <w:r>
        <w:t>2.2</w:t>
      </w:r>
      <w:r>
        <w:tab/>
        <w:t xml:space="preserve">Use cases for Conditional </w:t>
      </w:r>
      <w:proofErr w:type="spellStart"/>
      <w:r>
        <w:t>PSCell</w:t>
      </w:r>
      <w:proofErr w:type="spellEnd"/>
      <w:r>
        <w:t xml:space="preserve"> Addition</w:t>
      </w:r>
    </w:p>
    <w:p w14:paraId="71C395A9" w14:textId="1AA55418" w:rsidR="00781BA6" w:rsidRDefault="00634ED6" w:rsidP="00B93BF6">
      <w:r>
        <w:t xml:space="preserve">The following agreement was reached at the RAN2#119 meeting, </w:t>
      </w:r>
      <w:proofErr w:type="gramStart"/>
      <w:r>
        <w:t>i.e.</w:t>
      </w:r>
      <w:proofErr w:type="gramEnd"/>
      <w:r>
        <w:t xml:space="preserve"> that subsequent CPC procedures are to be supported after a cell group change, where the subsequent CPC procedures then should be possible without </w:t>
      </w:r>
      <w:r>
        <w:rPr>
          <w:bCs/>
          <w:lang w:val="en-US"/>
        </w:rPr>
        <w:t xml:space="preserve">reconfiguration and re-initiation of CPC/CPA. It was however left FFS whether the same </w:t>
      </w:r>
      <w:r w:rsidR="00AA62AB">
        <w:rPr>
          <w:bCs/>
          <w:lang w:val="en-US"/>
        </w:rPr>
        <w:t xml:space="preserve">should </w:t>
      </w:r>
      <w:r>
        <w:rPr>
          <w:bCs/>
          <w:lang w:val="en-US"/>
        </w:rPr>
        <w:t>apply for CPA.</w:t>
      </w:r>
    </w:p>
    <w:p w14:paraId="22335825" w14:textId="77777777" w:rsidR="00FE122E" w:rsidRPr="00D46678" w:rsidRDefault="00FE122E" w:rsidP="00FE122E">
      <w:pPr>
        <w:pStyle w:val="Agreement"/>
        <w:tabs>
          <w:tab w:val="clear" w:pos="1619"/>
          <w:tab w:val="num" w:pos="927"/>
        </w:tabs>
        <w:ind w:left="927"/>
        <w:rPr>
          <w:lang w:val="en-US"/>
        </w:rPr>
      </w:pPr>
      <w:r>
        <w:t xml:space="preserve">The selective activation of cell groups should correspond to support of subsequent conditional changes (CPC) after a cell group change (normal or conditional). </w:t>
      </w:r>
      <w:r w:rsidRPr="00FE122E">
        <w:rPr>
          <w:highlight w:val="yellow"/>
        </w:rPr>
        <w:t>CPA FFS</w:t>
      </w:r>
      <w:r>
        <w:t xml:space="preserve">. </w:t>
      </w:r>
    </w:p>
    <w:p w14:paraId="6CC07B73" w14:textId="63487386" w:rsidR="00FE122E" w:rsidRDefault="00FE122E" w:rsidP="00B93BF6">
      <w:pPr>
        <w:rPr>
          <w:bCs/>
        </w:rPr>
      </w:pPr>
    </w:p>
    <w:p w14:paraId="6D84D7FC" w14:textId="0F2B09A0" w:rsidR="00634ED6" w:rsidRDefault="00634ED6" w:rsidP="00B93BF6">
      <w:pPr>
        <w:rPr>
          <w:bCs/>
        </w:rPr>
      </w:pPr>
      <w:r>
        <w:rPr>
          <w:bCs/>
        </w:rPr>
        <w:t xml:space="preserve">The use case for storing a CPA configuration at cell group changes would correspond to that the cell group change is for the MCG, since a CPA configuration is not relevant when the UE has an SCG configured. Since the work in Rel-18 is targeting </w:t>
      </w:r>
      <w:r w:rsidRPr="00634ED6">
        <w:rPr>
          <w:bCs/>
        </w:rPr>
        <w:t>case</w:t>
      </w:r>
      <w:r>
        <w:rPr>
          <w:bCs/>
        </w:rPr>
        <w:t>s</w:t>
      </w:r>
      <w:r w:rsidRPr="00634ED6">
        <w:rPr>
          <w:bCs/>
        </w:rPr>
        <w:t xml:space="preserve"> of frequent SCG changes when operating FR2</w:t>
      </w:r>
      <w:r>
        <w:rPr>
          <w:bCs/>
        </w:rPr>
        <w:t>, we do not see the need for keeping CPA configurations in Rel-18.</w:t>
      </w:r>
    </w:p>
    <w:p w14:paraId="2B603794" w14:textId="7BD7D53E" w:rsidR="00761C9F" w:rsidRPr="00634ED6" w:rsidRDefault="00980FDE" w:rsidP="00761C9F">
      <w:pPr>
        <w:pStyle w:val="Proposal"/>
      </w:pPr>
      <w:bookmarkStart w:id="4" w:name="_Toc115426214"/>
      <w:r w:rsidRPr="00634ED6">
        <w:t xml:space="preserve">Keeping CPA configurations at cell group changes is not </w:t>
      </w:r>
      <w:r w:rsidR="0061231E">
        <w:t>prioritized</w:t>
      </w:r>
      <w:r w:rsidR="0061231E" w:rsidRPr="00634ED6">
        <w:t xml:space="preserve"> </w:t>
      </w:r>
      <w:r w:rsidR="00634ED6" w:rsidRPr="00634ED6">
        <w:t>in Rel-18</w:t>
      </w:r>
      <w:r w:rsidR="00761C9F" w:rsidRPr="00634ED6">
        <w:t>.</w:t>
      </w:r>
      <w:bookmarkEnd w:id="4"/>
    </w:p>
    <w:p w14:paraId="3897F353" w14:textId="77777777" w:rsidR="00FE122E" w:rsidRDefault="00FE122E" w:rsidP="00B93BF6"/>
    <w:p w14:paraId="4A28246B" w14:textId="3FE51E8C" w:rsidR="00FE122E" w:rsidRDefault="00FE122E" w:rsidP="00FE122E">
      <w:pPr>
        <w:pStyle w:val="Heading2"/>
      </w:pPr>
      <w:r>
        <w:t>2.</w:t>
      </w:r>
      <w:r w:rsidR="00F178A5">
        <w:t>3</w:t>
      </w:r>
      <w:r>
        <w:tab/>
        <w:t>Keeping CPC configurations at cell changes</w:t>
      </w:r>
    </w:p>
    <w:p w14:paraId="47533A72" w14:textId="30B96780" w:rsidR="00FE122E" w:rsidRDefault="00FE122E" w:rsidP="00FE122E">
      <w:pPr>
        <w:pStyle w:val="Heading3"/>
      </w:pPr>
      <w:r>
        <w:t>2.</w:t>
      </w:r>
      <w:r w:rsidR="00F178A5">
        <w:t>3</w:t>
      </w:r>
      <w:r>
        <w:t>.1</w:t>
      </w:r>
      <w:r>
        <w:tab/>
        <w:t>Configuration to keep CPC configurations at cell changes</w:t>
      </w:r>
    </w:p>
    <w:p w14:paraId="2766D2CB" w14:textId="783F616B" w:rsidR="00B7418F" w:rsidRDefault="001A715B" w:rsidP="00B93BF6">
      <w:r w:rsidRPr="001A715B">
        <w:t xml:space="preserve">In Rel-17, the conditional configurations (CHO, </w:t>
      </w:r>
      <w:proofErr w:type="gramStart"/>
      <w:r w:rsidRPr="001A715B">
        <w:t>CPC</w:t>
      </w:r>
      <w:proofErr w:type="gramEnd"/>
      <w:r w:rsidRPr="001A715B">
        <w:t xml:space="preserve"> and CPA) are released at execution of another conditional configuration (or legacy cell change procedure). By introducing the possibility to keep </w:t>
      </w:r>
      <w:r>
        <w:t xml:space="preserve">CPC </w:t>
      </w:r>
      <w:r w:rsidRPr="001A715B">
        <w:t xml:space="preserve">configurations in Rel-18, it then needs to be clear between the UE and the network how stored </w:t>
      </w:r>
      <w:r w:rsidR="001345C8">
        <w:t xml:space="preserve">CPC </w:t>
      </w:r>
      <w:r w:rsidRPr="001A715B">
        <w:t xml:space="preserve">configurations are to be handled at cell group changes, </w:t>
      </w:r>
      <w:proofErr w:type="gramStart"/>
      <w:r w:rsidRPr="001A715B">
        <w:t>i.e.</w:t>
      </w:r>
      <w:proofErr w:type="gramEnd"/>
      <w:r w:rsidRPr="001A715B">
        <w:t xml:space="preserve"> if they are to be </w:t>
      </w:r>
      <w:r w:rsidRPr="00E82B07">
        <w:t xml:space="preserve">stored or released. It should then also be considered that as the UE is moving into new cells/areas, the </w:t>
      </w:r>
      <w:r w:rsidR="001345C8" w:rsidRPr="00E82B07">
        <w:t xml:space="preserve">CPC </w:t>
      </w:r>
      <w:r w:rsidRPr="00E82B07">
        <w:t xml:space="preserve">configurations for the UE </w:t>
      </w:r>
      <w:r w:rsidR="00E82B07" w:rsidRPr="00E82B07">
        <w:t xml:space="preserve">may </w:t>
      </w:r>
      <w:r w:rsidRPr="00E82B07">
        <w:t>need to be updated.</w:t>
      </w:r>
      <w:r w:rsidR="00B7418F" w:rsidRPr="00E82B07">
        <w:t xml:space="preserve"> </w:t>
      </w:r>
      <w:r w:rsidRPr="00E82B07">
        <w:t xml:space="preserve">There is </w:t>
      </w:r>
      <w:r w:rsidR="001345C8" w:rsidRPr="00E82B07">
        <w:t xml:space="preserve">therefore </w:t>
      </w:r>
      <w:r w:rsidRPr="00E82B07">
        <w:t xml:space="preserve">a need </w:t>
      </w:r>
      <w:r w:rsidR="00B7418F" w:rsidRPr="00E82B07">
        <w:t xml:space="preserve">for some kind of </w:t>
      </w:r>
      <w:r w:rsidRPr="00E82B07">
        <w:t>indicat</w:t>
      </w:r>
      <w:r w:rsidR="00B7418F" w:rsidRPr="00E82B07">
        <w:t>ion</w:t>
      </w:r>
      <w:r w:rsidRPr="00E82B07">
        <w:t xml:space="preserve"> whether a CPC configuration is to be kept or released at a cell</w:t>
      </w:r>
      <w:r w:rsidRPr="00B7418F">
        <w:t xml:space="preserve"> change procedure.</w:t>
      </w:r>
    </w:p>
    <w:p w14:paraId="4011B059" w14:textId="6F9E4FC3" w:rsidR="001A715B" w:rsidRPr="00B7418F" w:rsidRDefault="00B7418F" w:rsidP="00B93BF6">
      <w:r>
        <w:t xml:space="preserve">The following </w:t>
      </w:r>
      <w:r w:rsidR="001A715B" w:rsidRPr="00B7418F">
        <w:t>alternatives</w:t>
      </w:r>
      <w:r w:rsidRPr="00B7418F">
        <w:t xml:space="preserve"> can be identified:</w:t>
      </w:r>
    </w:p>
    <w:p w14:paraId="0FA20982" w14:textId="4DB42BBA" w:rsidR="00B7418F" w:rsidRPr="007E646E" w:rsidRDefault="00B7418F" w:rsidP="00B7418F">
      <w:pPr>
        <w:pStyle w:val="ListParagraph"/>
        <w:numPr>
          <w:ilvl w:val="0"/>
          <w:numId w:val="28"/>
        </w:numPr>
        <w:rPr>
          <w:rFonts w:ascii="Times New Roman" w:hAnsi="Times New Roman"/>
          <w:sz w:val="20"/>
          <w:szCs w:val="20"/>
        </w:rPr>
      </w:pPr>
      <w:r w:rsidRPr="007E646E">
        <w:rPr>
          <w:rFonts w:ascii="Times New Roman" w:hAnsi="Times New Roman"/>
          <w:sz w:val="20"/>
          <w:szCs w:val="20"/>
        </w:rPr>
        <w:t xml:space="preserve">The </w:t>
      </w:r>
      <w:r w:rsidR="003F7595" w:rsidRPr="007E646E">
        <w:rPr>
          <w:rFonts w:ascii="Times New Roman" w:hAnsi="Times New Roman"/>
          <w:sz w:val="20"/>
          <w:szCs w:val="20"/>
          <w:lang w:val="en-US"/>
        </w:rPr>
        <w:t xml:space="preserve">network indicates to the UE after the </w:t>
      </w:r>
      <w:r w:rsidR="007E646E">
        <w:rPr>
          <w:rFonts w:ascii="Times New Roman" w:hAnsi="Times New Roman"/>
          <w:sz w:val="20"/>
          <w:szCs w:val="20"/>
          <w:lang w:val="en-US"/>
        </w:rPr>
        <w:t xml:space="preserve">successful </w:t>
      </w:r>
      <w:r w:rsidR="003F7595" w:rsidRPr="007E646E">
        <w:rPr>
          <w:rFonts w:ascii="Times New Roman" w:hAnsi="Times New Roman"/>
          <w:sz w:val="20"/>
          <w:szCs w:val="20"/>
          <w:lang w:val="en-US"/>
        </w:rPr>
        <w:t xml:space="preserve">cell group change procedure which </w:t>
      </w:r>
      <w:r w:rsidR="007E646E">
        <w:rPr>
          <w:rFonts w:ascii="Times New Roman" w:hAnsi="Times New Roman"/>
          <w:sz w:val="20"/>
          <w:szCs w:val="20"/>
          <w:lang w:val="en-US"/>
        </w:rPr>
        <w:t xml:space="preserve">of the </w:t>
      </w:r>
      <w:r w:rsidR="003F7595" w:rsidRPr="007E646E">
        <w:rPr>
          <w:rFonts w:ascii="Times New Roman" w:hAnsi="Times New Roman"/>
          <w:sz w:val="20"/>
          <w:szCs w:val="20"/>
          <w:lang w:val="en-US"/>
        </w:rPr>
        <w:t>CPC configurations to keep and which to release.</w:t>
      </w:r>
    </w:p>
    <w:p w14:paraId="35F35D0F" w14:textId="0037D795" w:rsidR="003F7595" w:rsidRPr="007E646E" w:rsidRDefault="003F7595" w:rsidP="00B7418F">
      <w:pPr>
        <w:pStyle w:val="ListParagraph"/>
        <w:numPr>
          <w:ilvl w:val="0"/>
          <w:numId w:val="28"/>
        </w:numPr>
        <w:rPr>
          <w:rFonts w:ascii="Times New Roman" w:hAnsi="Times New Roman"/>
          <w:sz w:val="20"/>
          <w:szCs w:val="20"/>
        </w:rPr>
      </w:pPr>
      <w:r w:rsidRPr="007E646E">
        <w:rPr>
          <w:rFonts w:ascii="Times New Roman" w:hAnsi="Times New Roman"/>
          <w:sz w:val="20"/>
          <w:szCs w:val="20"/>
          <w:lang w:val="en-US"/>
        </w:rPr>
        <w:t xml:space="preserve">The </w:t>
      </w:r>
      <w:r w:rsidR="007E646E" w:rsidRPr="007E646E">
        <w:rPr>
          <w:rFonts w:ascii="Times New Roman" w:hAnsi="Times New Roman"/>
          <w:sz w:val="20"/>
          <w:szCs w:val="20"/>
          <w:lang w:val="en-US"/>
        </w:rPr>
        <w:t>UE is, before the cell group change, provided with a configuration about which CPC configurations to keep.</w:t>
      </w:r>
      <w:r w:rsidR="007E646E">
        <w:rPr>
          <w:rFonts w:ascii="Times New Roman" w:hAnsi="Times New Roman"/>
          <w:sz w:val="20"/>
          <w:szCs w:val="20"/>
          <w:lang w:val="en-US"/>
        </w:rPr>
        <w:t xml:space="preserve"> Such indication could </w:t>
      </w:r>
      <w:proofErr w:type="gramStart"/>
      <w:r w:rsidR="007E646E">
        <w:rPr>
          <w:rFonts w:ascii="Times New Roman" w:hAnsi="Times New Roman"/>
          <w:sz w:val="20"/>
          <w:szCs w:val="20"/>
          <w:lang w:val="en-US"/>
        </w:rPr>
        <w:t>e.g.</w:t>
      </w:r>
      <w:proofErr w:type="gramEnd"/>
      <w:r w:rsidR="007E646E">
        <w:rPr>
          <w:rFonts w:ascii="Times New Roman" w:hAnsi="Times New Roman"/>
          <w:sz w:val="20"/>
          <w:szCs w:val="20"/>
          <w:lang w:val="en-US"/>
        </w:rPr>
        <w:t xml:space="preserve"> be included as part of the configuration that triggered the cell group change procedure, or as part of the CPC configuration that is to be kept or released.</w:t>
      </w:r>
    </w:p>
    <w:p w14:paraId="152F024A" w14:textId="36932721" w:rsidR="00B7418F" w:rsidRDefault="00B7418F" w:rsidP="00B93BF6"/>
    <w:p w14:paraId="4650FAF3" w14:textId="2983CAA5" w:rsidR="003F7595" w:rsidRDefault="003F7595" w:rsidP="00B93BF6">
      <w:r>
        <w:t xml:space="preserve">The alternative to let the network (the target node) indicate to the UE </w:t>
      </w:r>
      <w:r w:rsidRPr="007E646E">
        <w:rPr>
          <w:lang w:val="en-US"/>
        </w:rPr>
        <w:t>after the cell group change procedure which CPC configurations to keep and which to release</w:t>
      </w:r>
      <w:r w:rsidR="007E646E">
        <w:rPr>
          <w:lang w:val="en-US"/>
        </w:rPr>
        <w:t xml:space="preserve"> would mean that there is a need for </w:t>
      </w:r>
      <w:proofErr w:type="gramStart"/>
      <w:r w:rsidR="007E646E">
        <w:rPr>
          <w:lang w:val="en-US"/>
        </w:rPr>
        <w:t>some kind of signaling</w:t>
      </w:r>
      <w:proofErr w:type="gramEnd"/>
      <w:r w:rsidR="007E646E">
        <w:rPr>
          <w:lang w:val="en-US"/>
        </w:rPr>
        <w:t xml:space="preserve"> after each cell group change. This signaling can probably be kept small compared to retransmitting the whole CPC configurations, but it would still not be possible to perform subsequent </w:t>
      </w:r>
      <w:proofErr w:type="spellStart"/>
      <w:r w:rsidR="007E646E">
        <w:rPr>
          <w:lang w:val="en-US"/>
        </w:rPr>
        <w:t>PSCell</w:t>
      </w:r>
      <w:proofErr w:type="spellEnd"/>
      <w:r w:rsidR="007E646E">
        <w:rPr>
          <w:lang w:val="en-US"/>
        </w:rPr>
        <w:t xml:space="preserve"> changes without any reconfiguration.</w:t>
      </w:r>
    </w:p>
    <w:p w14:paraId="4B6D7DE7" w14:textId="336E8FC8" w:rsidR="001A715B" w:rsidRDefault="00F83A2C" w:rsidP="00B93BF6">
      <w:pPr>
        <w:rPr>
          <w:highlight w:val="yellow"/>
        </w:rPr>
      </w:pPr>
      <w:r>
        <w:t>T</w:t>
      </w:r>
      <w:r w:rsidR="003F7595">
        <w:t xml:space="preserve">o let </w:t>
      </w:r>
      <w:r w:rsidR="001A715B" w:rsidRPr="001A715B">
        <w:t xml:space="preserve">the </w:t>
      </w:r>
      <w:proofErr w:type="gramStart"/>
      <w:r w:rsidR="001A715B" w:rsidRPr="001A715B">
        <w:t>UE</w:t>
      </w:r>
      <w:proofErr w:type="gramEnd"/>
      <w:r w:rsidR="001A715B" w:rsidRPr="001A715B">
        <w:t xml:space="preserve"> determine whether to keep or release a CPC configuration based on </w:t>
      </w:r>
      <w:r w:rsidR="003F7595">
        <w:t xml:space="preserve">previous </w:t>
      </w:r>
      <w:r w:rsidR="001A715B" w:rsidRPr="001A715B">
        <w:t>configuration does not</w:t>
      </w:r>
      <w:r>
        <w:t xml:space="preserve"> however</w:t>
      </w:r>
      <w:r w:rsidR="001A715B" w:rsidRPr="001A715B">
        <w:t xml:space="preserve"> require any signalling after each cell change procedure</w:t>
      </w:r>
      <w:r w:rsidR="003F7595">
        <w:t xml:space="preserve">. It thus </w:t>
      </w:r>
      <w:r w:rsidR="001A715B" w:rsidRPr="001A715B">
        <w:t xml:space="preserve">enables subsequent conditional </w:t>
      </w:r>
      <w:proofErr w:type="spellStart"/>
      <w:r w:rsidR="001A715B" w:rsidRPr="001A715B">
        <w:t>PSCell</w:t>
      </w:r>
      <w:proofErr w:type="spellEnd"/>
      <w:r w:rsidR="001A715B" w:rsidRPr="001A715B">
        <w:t xml:space="preserve"> changes without any reconfiguration. We therefore have a slight preference for this alternative, </w:t>
      </w:r>
      <w:proofErr w:type="gramStart"/>
      <w:r w:rsidR="001A715B" w:rsidRPr="001A715B">
        <w:t>i.e.</w:t>
      </w:r>
      <w:proofErr w:type="gramEnd"/>
      <w:r w:rsidR="001A715B" w:rsidRPr="001A715B">
        <w:t xml:space="preserve"> that the UE should keep/make use of a stored CPC configuration based on </w:t>
      </w:r>
      <w:r w:rsidR="003F7595">
        <w:t xml:space="preserve">a configuration </w:t>
      </w:r>
      <w:r w:rsidR="00E97591">
        <w:t xml:space="preserve">that is </w:t>
      </w:r>
      <w:r w:rsidR="003F7595">
        <w:t xml:space="preserve">received before </w:t>
      </w:r>
      <w:r>
        <w:t xml:space="preserve">the </w:t>
      </w:r>
      <w:r w:rsidR="003F7595">
        <w:t xml:space="preserve">execution of the cell group change. Since it should be the target node that decides what CPC configurations that the UE should have after the cell group change, a corresponding indication should therefore preferably be included in the configuration </w:t>
      </w:r>
      <w:r w:rsidR="00E97591">
        <w:t xml:space="preserve">from that target node, </w:t>
      </w:r>
      <w:proofErr w:type="gramStart"/>
      <w:r w:rsidR="00E97591">
        <w:t>e.g.</w:t>
      </w:r>
      <w:proofErr w:type="gramEnd"/>
      <w:r w:rsidR="00E97591">
        <w:t xml:space="preserve"> the </w:t>
      </w:r>
      <w:r w:rsidR="003F7595">
        <w:t xml:space="preserve">CPC configuration or normal </w:t>
      </w:r>
      <w:proofErr w:type="spellStart"/>
      <w:r w:rsidR="003F7595">
        <w:t>PSCell</w:t>
      </w:r>
      <w:proofErr w:type="spellEnd"/>
      <w:r w:rsidR="003F7595">
        <w:t xml:space="preserve"> change configuration that triggered the cell group change.</w:t>
      </w:r>
    </w:p>
    <w:p w14:paraId="1C434FEC" w14:textId="65665641" w:rsidR="00A20F99" w:rsidRDefault="00A20F99" w:rsidP="00A20F99">
      <w:pPr>
        <w:pStyle w:val="Proposal"/>
      </w:pPr>
      <w:bookmarkStart w:id="5" w:name="_Toc115426215"/>
      <w:r>
        <w:t>The UE should keep (</w:t>
      </w:r>
      <w:proofErr w:type="gramStart"/>
      <w:r>
        <w:t>i.e.</w:t>
      </w:r>
      <w:proofErr w:type="gramEnd"/>
      <w:r>
        <w:t xml:space="preserve"> not release) a stored CPC configuration after cell group change </w:t>
      </w:r>
      <w:r w:rsidR="00BA40B1">
        <w:t xml:space="preserve">in a manner where </w:t>
      </w:r>
      <w:r w:rsidR="00473A67">
        <w:t xml:space="preserve">subsequent </w:t>
      </w:r>
      <w:proofErr w:type="spellStart"/>
      <w:r w:rsidR="00B239A4">
        <w:t>signaling</w:t>
      </w:r>
      <w:proofErr w:type="spellEnd"/>
      <w:r w:rsidR="00473A67">
        <w:t xml:space="preserve"> after</w:t>
      </w:r>
      <w:r w:rsidR="00A24EFE">
        <w:t xml:space="preserve"> </w:t>
      </w:r>
      <w:r w:rsidR="006E3A24">
        <w:t>the cell group change</w:t>
      </w:r>
      <w:r w:rsidR="00BA40B1">
        <w:t xml:space="preserve"> is not needed</w:t>
      </w:r>
      <w:r w:rsidR="006E3A24">
        <w:t>.</w:t>
      </w:r>
      <w:bookmarkEnd w:id="5"/>
      <w:r w:rsidR="006E3A24">
        <w:t xml:space="preserve"> </w:t>
      </w:r>
    </w:p>
    <w:p w14:paraId="2C577FA4" w14:textId="67B596AB" w:rsidR="001678D3" w:rsidRDefault="00C27BB8" w:rsidP="00016CB9">
      <w:pPr>
        <w:pStyle w:val="Proposal"/>
      </w:pPr>
      <w:bookmarkStart w:id="6" w:name="_Toc115426216"/>
      <w:r>
        <w:t>T</w:t>
      </w:r>
      <w:r w:rsidR="001678D3">
        <w:t xml:space="preserve">he UE should keep </w:t>
      </w:r>
      <w:r w:rsidR="007E646E">
        <w:t>(</w:t>
      </w:r>
      <w:proofErr w:type="gramStart"/>
      <w:r w:rsidR="007E646E">
        <w:t>i.e.</w:t>
      </w:r>
      <w:proofErr w:type="gramEnd"/>
      <w:r w:rsidR="007E646E">
        <w:t xml:space="preserve"> not release) </w:t>
      </w:r>
      <w:r w:rsidR="001678D3">
        <w:t xml:space="preserve">a </w:t>
      </w:r>
      <w:r w:rsidR="001A715B">
        <w:t xml:space="preserve">stored </w:t>
      </w:r>
      <w:r w:rsidR="001678D3">
        <w:t xml:space="preserve">CPC configuration after cell group change based on </w:t>
      </w:r>
      <w:r w:rsidR="00BA40B1">
        <w:t xml:space="preserve">information </w:t>
      </w:r>
      <w:r w:rsidR="001678D3">
        <w:t xml:space="preserve">from the </w:t>
      </w:r>
      <w:r w:rsidR="00E97591">
        <w:t xml:space="preserve">target node of the cell group change procedure, e.g. </w:t>
      </w:r>
      <w:r>
        <w:t xml:space="preserve">in the CPC configuration or </w:t>
      </w:r>
      <w:proofErr w:type="spellStart"/>
      <w:r>
        <w:t>PSCell</w:t>
      </w:r>
      <w:proofErr w:type="spellEnd"/>
      <w:r>
        <w:t xml:space="preserve"> change configuration that triggered the cell </w:t>
      </w:r>
      <w:r w:rsidR="007E646E">
        <w:t xml:space="preserve">group </w:t>
      </w:r>
      <w:r>
        <w:t>change.</w:t>
      </w:r>
      <w:bookmarkEnd w:id="6"/>
    </w:p>
    <w:p w14:paraId="2E44FD09" w14:textId="64033B3D" w:rsidR="00FE122E" w:rsidRDefault="00FE122E" w:rsidP="00B93BF6">
      <w:pPr>
        <w:rPr>
          <w:highlight w:val="yellow"/>
        </w:rPr>
      </w:pPr>
    </w:p>
    <w:p w14:paraId="23633470" w14:textId="7214AA57" w:rsidR="00B7114D" w:rsidRDefault="00B7114D" w:rsidP="00B93BF6">
      <w:r w:rsidRPr="00B7114D">
        <w:t xml:space="preserve">The serving SN </w:t>
      </w:r>
      <w:r>
        <w:t xml:space="preserve">always </w:t>
      </w:r>
      <w:r w:rsidRPr="00B7114D">
        <w:t>needs to be aware about the SN</w:t>
      </w:r>
      <w:r w:rsidR="00425493">
        <w:t xml:space="preserve"> </w:t>
      </w:r>
      <w:r w:rsidRPr="00B7114D">
        <w:t xml:space="preserve">initiated CPC configurations that the UE has stored so that the configurations are consistent. </w:t>
      </w:r>
      <w:r>
        <w:t>For a target SN of an inter-SN cell group change, where the UE stores CPC configurations that it has received earlier, there is therefore a need to get the information about all SN</w:t>
      </w:r>
      <w:r w:rsidR="00425493">
        <w:t xml:space="preserve"> </w:t>
      </w:r>
      <w:r>
        <w:t xml:space="preserve">initiated CPC configurations that the UE has stored. In case of an inter-SN </w:t>
      </w:r>
      <w:proofErr w:type="spellStart"/>
      <w:r>
        <w:t>PSCell</w:t>
      </w:r>
      <w:proofErr w:type="spellEnd"/>
      <w:r>
        <w:t xml:space="preserve"> change the MN should therefore inform the target SN about the SN</w:t>
      </w:r>
      <w:r w:rsidR="00425493">
        <w:t xml:space="preserve"> </w:t>
      </w:r>
      <w:r>
        <w:t xml:space="preserve">initiated Conditional </w:t>
      </w:r>
      <w:proofErr w:type="spellStart"/>
      <w:r>
        <w:t>PSCell</w:t>
      </w:r>
      <w:proofErr w:type="spellEnd"/>
      <w:r>
        <w:t xml:space="preserve"> Change configurations that the UE has stored.</w:t>
      </w:r>
    </w:p>
    <w:p w14:paraId="797C0BC1" w14:textId="77E6EA5F" w:rsidR="00E34826" w:rsidRPr="00CE0424" w:rsidRDefault="00E34826" w:rsidP="00E34826">
      <w:pPr>
        <w:pStyle w:val="Observation"/>
      </w:pPr>
      <w:bookmarkStart w:id="7" w:name="_Toc115426208"/>
      <w:r>
        <w:t xml:space="preserve">In case of a </w:t>
      </w:r>
      <w:proofErr w:type="spellStart"/>
      <w:r>
        <w:t>PSCell</w:t>
      </w:r>
      <w:proofErr w:type="spellEnd"/>
      <w:r>
        <w:t xml:space="preserve"> change the target SN needs to have the information about the SN</w:t>
      </w:r>
      <w:r w:rsidR="00425493">
        <w:t xml:space="preserve"> </w:t>
      </w:r>
      <w:r>
        <w:t xml:space="preserve">initiated </w:t>
      </w:r>
      <w:r w:rsidR="00BA40B1">
        <w:t>CPC</w:t>
      </w:r>
      <w:r>
        <w:t xml:space="preserve"> configurations that the UE has stored.</w:t>
      </w:r>
      <w:bookmarkEnd w:id="7"/>
    </w:p>
    <w:p w14:paraId="5B1C33FC" w14:textId="4C0BB546" w:rsidR="00E34826" w:rsidRDefault="00E34826" w:rsidP="00E34826">
      <w:pPr>
        <w:pStyle w:val="Proposal"/>
      </w:pPr>
      <w:bookmarkStart w:id="8" w:name="_Toc115426217"/>
      <w:r>
        <w:t xml:space="preserve">In case of an inter-SN </w:t>
      </w:r>
      <w:proofErr w:type="spellStart"/>
      <w:r>
        <w:t>PSCell</w:t>
      </w:r>
      <w:proofErr w:type="spellEnd"/>
      <w:r>
        <w:t xml:space="preserve"> change the MN should inform the target SN about the SN</w:t>
      </w:r>
      <w:r w:rsidR="00425493">
        <w:t xml:space="preserve"> </w:t>
      </w:r>
      <w:r>
        <w:t>initiated C</w:t>
      </w:r>
      <w:r w:rsidR="00BA40B1">
        <w:t>PC</w:t>
      </w:r>
      <w:r>
        <w:t xml:space="preserve"> configurations that the UE has stored.</w:t>
      </w:r>
      <w:bookmarkEnd w:id="8"/>
    </w:p>
    <w:p w14:paraId="51C1BBDA" w14:textId="77777777" w:rsidR="00E34826" w:rsidRDefault="00E34826" w:rsidP="00B93BF6">
      <w:pPr>
        <w:rPr>
          <w:highlight w:val="yellow"/>
        </w:rPr>
      </w:pPr>
    </w:p>
    <w:p w14:paraId="6C01AA98" w14:textId="329801A2" w:rsidR="00FE122E" w:rsidRDefault="00FE122E" w:rsidP="00FE122E">
      <w:pPr>
        <w:pStyle w:val="Heading3"/>
      </w:pPr>
      <w:r>
        <w:t>2.</w:t>
      </w:r>
      <w:r w:rsidR="00F178A5">
        <w:t>3</w:t>
      </w:r>
      <w:r>
        <w:t>.2</w:t>
      </w:r>
      <w:r>
        <w:tab/>
      </w:r>
      <w:r w:rsidR="00BB1A6B">
        <w:t>Supported t</w:t>
      </w:r>
      <w:r w:rsidR="00793404">
        <w:t>ypes of CPC configurations</w:t>
      </w:r>
    </w:p>
    <w:p w14:paraId="71C575FA" w14:textId="51A6F7EA" w:rsidR="00787B0E" w:rsidRPr="00787B0E" w:rsidRDefault="003E7638" w:rsidP="00B93BF6">
      <w:r>
        <w:t>There are t</w:t>
      </w:r>
      <w:r w:rsidR="00787B0E" w:rsidRPr="00787B0E">
        <w:t xml:space="preserve">hree different types of CPC configurations </w:t>
      </w:r>
      <w:r>
        <w:t xml:space="preserve">that </w:t>
      </w:r>
      <w:r w:rsidR="00787B0E" w:rsidRPr="00787B0E">
        <w:t>have been specified</w:t>
      </w:r>
      <w:r>
        <w:t xml:space="preserve"> in Rel-16 and Rel-17</w:t>
      </w:r>
      <w:r w:rsidR="00787B0E" w:rsidRPr="00787B0E">
        <w:t>:</w:t>
      </w:r>
    </w:p>
    <w:p w14:paraId="237C5E41" w14:textId="0E8EB4F6" w:rsidR="00787B0E" w:rsidRPr="00787B0E" w:rsidRDefault="00787B0E" w:rsidP="00787B0E">
      <w:pPr>
        <w:pStyle w:val="ListParagraph"/>
        <w:numPr>
          <w:ilvl w:val="0"/>
          <w:numId w:val="34"/>
        </w:numPr>
        <w:rPr>
          <w:rFonts w:ascii="Times New Roman" w:hAnsi="Times New Roman"/>
          <w:sz w:val="20"/>
          <w:szCs w:val="20"/>
        </w:rPr>
      </w:pPr>
      <w:r w:rsidRPr="00787B0E">
        <w:rPr>
          <w:rFonts w:ascii="Times New Roman" w:hAnsi="Times New Roman"/>
          <w:sz w:val="20"/>
          <w:szCs w:val="20"/>
        </w:rPr>
        <w:t>Rel-16 intra-SN CPC (without MN involvement)</w:t>
      </w:r>
    </w:p>
    <w:p w14:paraId="53CB8013" w14:textId="0C2D96AB" w:rsidR="00787B0E" w:rsidRPr="00787B0E" w:rsidRDefault="00787B0E" w:rsidP="00787B0E">
      <w:pPr>
        <w:pStyle w:val="ListParagraph"/>
        <w:numPr>
          <w:ilvl w:val="0"/>
          <w:numId w:val="34"/>
        </w:numPr>
        <w:rPr>
          <w:rFonts w:ascii="Times New Roman" w:hAnsi="Times New Roman"/>
          <w:sz w:val="20"/>
          <w:szCs w:val="20"/>
        </w:rPr>
      </w:pPr>
      <w:r w:rsidRPr="00787B0E">
        <w:rPr>
          <w:rFonts w:ascii="Times New Roman" w:hAnsi="Times New Roman"/>
          <w:sz w:val="20"/>
          <w:szCs w:val="20"/>
        </w:rPr>
        <w:t>Rel-17 SN</w:t>
      </w:r>
      <w:r w:rsidR="00425493">
        <w:rPr>
          <w:rFonts w:ascii="Times New Roman" w:hAnsi="Times New Roman"/>
          <w:sz w:val="20"/>
          <w:szCs w:val="20"/>
          <w:lang w:val="en-US"/>
        </w:rPr>
        <w:t xml:space="preserve"> </w:t>
      </w:r>
      <w:r w:rsidRPr="00787B0E">
        <w:rPr>
          <w:rFonts w:ascii="Times New Roman" w:hAnsi="Times New Roman"/>
          <w:sz w:val="20"/>
          <w:szCs w:val="20"/>
        </w:rPr>
        <w:t>initiated inter-SN CPC</w:t>
      </w:r>
    </w:p>
    <w:p w14:paraId="06632EBE" w14:textId="4BF9C409" w:rsidR="00787B0E" w:rsidRPr="00787B0E" w:rsidRDefault="00787B0E" w:rsidP="00787B0E">
      <w:pPr>
        <w:pStyle w:val="ListParagraph"/>
        <w:numPr>
          <w:ilvl w:val="0"/>
          <w:numId w:val="34"/>
        </w:numPr>
        <w:rPr>
          <w:rFonts w:ascii="Times New Roman" w:hAnsi="Times New Roman"/>
          <w:sz w:val="20"/>
          <w:szCs w:val="20"/>
        </w:rPr>
      </w:pPr>
      <w:r w:rsidRPr="00787B0E">
        <w:rPr>
          <w:rFonts w:ascii="Times New Roman" w:hAnsi="Times New Roman"/>
          <w:sz w:val="20"/>
          <w:szCs w:val="20"/>
        </w:rPr>
        <w:t>Rel-17 MN</w:t>
      </w:r>
      <w:r w:rsidR="00425493">
        <w:rPr>
          <w:rFonts w:ascii="Times New Roman" w:hAnsi="Times New Roman"/>
          <w:sz w:val="20"/>
          <w:szCs w:val="20"/>
          <w:lang w:val="en-US"/>
        </w:rPr>
        <w:t xml:space="preserve"> </w:t>
      </w:r>
      <w:r w:rsidRPr="00787B0E">
        <w:rPr>
          <w:rFonts w:ascii="Times New Roman" w:hAnsi="Times New Roman"/>
          <w:sz w:val="20"/>
          <w:szCs w:val="20"/>
        </w:rPr>
        <w:t>initiated inter-SN CPC</w:t>
      </w:r>
    </w:p>
    <w:p w14:paraId="70B52274" w14:textId="1BFEDDE1" w:rsidR="00787B0E" w:rsidRDefault="00787B0E" w:rsidP="00787B0E">
      <w:pPr>
        <w:rPr>
          <w:highlight w:val="yellow"/>
        </w:rPr>
      </w:pPr>
    </w:p>
    <w:p w14:paraId="39F55ED0" w14:textId="559FF4A7" w:rsidR="003E7638" w:rsidRPr="004F2110" w:rsidRDefault="002C0C34" w:rsidP="00787B0E">
      <w:r>
        <w:t xml:space="preserve">RAN3 has taken a Working Assumption that both </w:t>
      </w:r>
      <w:r w:rsidRPr="002C0C34">
        <w:t xml:space="preserve">Inter-CU and Intra-CU cases </w:t>
      </w:r>
      <w:r>
        <w:t xml:space="preserve">should be considered </w:t>
      </w:r>
      <w:r w:rsidRPr="002C0C34">
        <w:t>with equal priorit</w:t>
      </w:r>
      <w:r>
        <w:t xml:space="preserve">y. </w:t>
      </w:r>
      <w:r w:rsidR="003D1417">
        <w:t xml:space="preserve">There is no reason to change the </w:t>
      </w:r>
      <w:r>
        <w:t xml:space="preserve">RAN3 WA from a RAN2 point of view and </w:t>
      </w:r>
      <w:r w:rsidR="003D1417">
        <w:t xml:space="preserve">we </w:t>
      </w:r>
      <w:r>
        <w:t xml:space="preserve">thus </w:t>
      </w:r>
      <w:r w:rsidR="003E7638" w:rsidRPr="004F2110">
        <w:t>think that b</w:t>
      </w:r>
      <w:r w:rsidR="00787B0E" w:rsidRPr="004F2110">
        <w:t xml:space="preserve">oth intra-SN and inter-SN Conditional </w:t>
      </w:r>
      <w:proofErr w:type="spellStart"/>
      <w:r w:rsidR="00787B0E" w:rsidRPr="004F2110">
        <w:t>PSCell</w:t>
      </w:r>
      <w:proofErr w:type="spellEnd"/>
      <w:r w:rsidR="00787B0E" w:rsidRPr="004F2110">
        <w:t xml:space="preserve"> Changes should be targeted</w:t>
      </w:r>
      <w:r w:rsidR="003E7638" w:rsidRPr="004F2110">
        <w:t xml:space="preserve"> in the Rel-18 work.</w:t>
      </w:r>
    </w:p>
    <w:p w14:paraId="2746D8F1" w14:textId="061AF553" w:rsidR="00BA40B1" w:rsidRDefault="00BA40B1" w:rsidP="00787B0E">
      <w:r>
        <w:t xml:space="preserve">For the </w:t>
      </w:r>
      <w:proofErr w:type="spellStart"/>
      <w:r>
        <w:t>PSCell</w:t>
      </w:r>
      <w:proofErr w:type="spellEnd"/>
      <w:r>
        <w:t xml:space="preserve"> mobility it makes the most sense that the SN is in control. </w:t>
      </w:r>
      <w:r w:rsidR="00467D96">
        <w:t xml:space="preserve">The SN should be in control of its own resources and there is </w:t>
      </w:r>
      <w:proofErr w:type="gramStart"/>
      <w:r w:rsidR="00467D96">
        <w:t>e.g.</w:t>
      </w:r>
      <w:proofErr w:type="gramEnd"/>
      <w:r w:rsidR="00467D96">
        <w:t xml:space="preserve"> only the SN initiated procedure for intra-SN CPC (from Rel-16). The SN should then also be in control of the inter-SN </w:t>
      </w:r>
      <w:proofErr w:type="spellStart"/>
      <w:r w:rsidR="00467D96">
        <w:t>PSCell</w:t>
      </w:r>
      <w:proofErr w:type="spellEnd"/>
      <w:r w:rsidR="00467D96">
        <w:t xml:space="preserve"> </w:t>
      </w:r>
      <w:proofErr w:type="gramStart"/>
      <w:r w:rsidR="00467D96">
        <w:t>change</w:t>
      </w:r>
      <w:proofErr w:type="gramEnd"/>
      <w:r w:rsidR="00467D96">
        <w:t xml:space="preserve"> cases. SN initiated CPC should therefore be supported in the Rel-18 solution for NR-DC with selective activation.</w:t>
      </w:r>
    </w:p>
    <w:p w14:paraId="1B92B3D8" w14:textId="629F0A04" w:rsidR="00787B0E" w:rsidRPr="004F2110" w:rsidRDefault="00467D96" w:rsidP="00787B0E">
      <w:r>
        <w:t>T</w:t>
      </w:r>
      <w:r w:rsidR="003E7638" w:rsidRPr="004F2110">
        <w:t>he MN</w:t>
      </w:r>
      <w:r w:rsidR="00425493">
        <w:t xml:space="preserve"> </w:t>
      </w:r>
      <w:r w:rsidR="003E7638" w:rsidRPr="004F2110">
        <w:t xml:space="preserve">initiated inter-SN CPC </w:t>
      </w:r>
      <w:r w:rsidR="003D1417">
        <w:t xml:space="preserve">today </w:t>
      </w:r>
      <w:r w:rsidR="003E7638" w:rsidRPr="004F2110">
        <w:t>suffers from that</w:t>
      </w:r>
      <w:r w:rsidR="002C0C34">
        <w:t>,</w:t>
      </w:r>
      <w:r w:rsidR="003E7638" w:rsidRPr="004F2110">
        <w:t xml:space="preserve"> </w:t>
      </w:r>
      <w:r w:rsidR="002C0C34">
        <w:t>when MCG measurement configuration is used</w:t>
      </w:r>
      <w:r w:rsidR="003D1417">
        <w:t>,</w:t>
      </w:r>
      <w:r w:rsidR="002C0C34">
        <w:t xml:space="preserve"> </w:t>
      </w:r>
      <w:r w:rsidR="003E7638" w:rsidRPr="004F2110">
        <w:t xml:space="preserve">the events (execution conditions) that compare the candidate target cell with the source cell (A3/A5) compare the candidate target </w:t>
      </w:r>
      <w:proofErr w:type="spellStart"/>
      <w:r w:rsidR="003E7638" w:rsidRPr="004F2110">
        <w:t>PSCell</w:t>
      </w:r>
      <w:proofErr w:type="spellEnd"/>
      <w:r w:rsidR="003E7638" w:rsidRPr="004F2110">
        <w:t xml:space="preserve"> with the current </w:t>
      </w:r>
      <w:proofErr w:type="spellStart"/>
      <w:r w:rsidR="003E7638" w:rsidRPr="004F2110">
        <w:rPr>
          <w:b/>
          <w:bCs/>
        </w:rPr>
        <w:t>PCell</w:t>
      </w:r>
      <w:proofErr w:type="spellEnd"/>
      <w:r w:rsidR="003E7638" w:rsidRPr="004F2110">
        <w:t xml:space="preserve"> (</w:t>
      </w:r>
      <w:proofErr w:type="gramStart"/>
      <w:r w:rsidR="003E7638" w:rsidRPr="004F2110">
        <w:t>i.e.</w:t>
      </w:r>
      <w:proofErr w:type="gramEnd"/>
      <w:r w:rsidR="003E7638" w:rsidRPr="004F2110">
        <w:t xml:space="preserve"> not with the current </w:t>
      </w:r>
      <w:proofErr w:type="spellStart"/>
      <w:r w:rsidR="003E7638" w:rsidRPr="004F2110">
        <w:rPr>
          <w:b/>
          <w:bCs/>
        </w:rPr>
        <w:t>PSCell</w:t>
      </w:r>
      <w:proofErr w:type="spellEnd"/>
      <w:r w:rsidR="003E7638" w:rsidRPr="004F2110">
        <w:t>)</w:t>
      </w:r>
      <w:r w:rsidR="002C0C34">
        <w:t>.</w:t>
      </w:r>
      <w:r w:rsidR="003E7638" w:rsidRPr="004F2110">
        <w:t xml:space="preserve"> </w:t>
      </w:r>
      <w:r w:rsidR="002C0C34">
        <w:t xml:space="preserve">These events are </w:t>
      </w:r>
      <w:r w:rsidR="003E7638" w:rsidRPr="004F2110">
        <w:t>thus not useful</w:t>
      </w:r>
      <w:r w:rsidR="002C0C34">
        <w:t xml:space="preserve"> for MN</w:t>
      </w:r>
      <w:r w:rsidR="00425493">
        <w:t xml:space="preserve"> </w:t>
      </w:r>
      <w:r w:rsidR="002C0C34">
        <w:t>initiated inter-SN CPC</w:t>
      </w:r>
      <w:r w:rsidR="003E7638" w:rsidRPr="004F2110">
        <w:t xml:space="preserve">. The A4 event does not have this issue since it only looks at the candidate target </w:t>
      </w:r>
      <w:proofErr w:type="spellStart"/>
      <w:r w:rsidR="003E7638" w:rsidRPr="004F2110">
        <w:t>PSCell</w:t>
      </w:r>
      <w:proofErr w:type="spellEnd"/>
      <w:r w:rsidR="003E7638" w:rsidRPr="004F2110">
        <w:t xml:space="preserve">, but it is then </w:t>
      </w:r>
      <w:r w:rsidR="00E25B05">
        <w:t xml:space="preserve">not </w:t>
      </w:r>
      <w:r w:rsidR="003E7638" w:rsidRPr="004F2110">
        <w:t xml:space="preserve">useful for </w:t>
      </w:r>
      <w:r w:rsidR="002C0C34">
        <w:t xml:space="preserve">mobility </w:t>
      </w:r>
      <w:r w:rsidR="003D1417">
        <w:t xml:space="preserve">use </w:t>
      </w:r>
      <w:r w:rsidR="002C0C34">
        <w:t>cases</w:t>
      </w:r>
      <w:r w:rsidR="003E7638" w:rsidRPr="004F2110">
        <w:t xml:space="preserve">. The issue with A3/A5 events </w:t>
      </w:r>
      <w:r w:rsidR="00E25B05">
        <w:t xml:space="preserve">thus means that </w:t>
      </w:r>
      <w:r w:rsidR="003E7638" w:rsidRPr="004F2110">
        <w:t>the Rel-17 MN</w:t>
      </w:r>
      <w:r w:rsidR="00425493">
        <w:t xml:space="preserve"> </w:t>
      </w:r>
      <w:r w:rsidR="003E7638" w:rsidRPr="004F2110">
        <w:t xml:space="preserve">initiated CPC solution </w:t>
      </w:r>
      <w:r w:rsidR="00E25B05">
        <w:t xml:space="preserve">is </w:t>
      </w:r>
      <w:r w:rsidR="004F2110" w:rsidRPr="004F2110">
        <w:t>not useful</w:t>
      </w:r>
      <w:r w:rsidR="003D1417">
        <w:t xml:space="preserve"> as such</w:t>
      </w:r>
      <w:r w:rsidR="004F2110" w:rsidRPr="004F2110">
        <w:t xml:space="preserve">. We therefore think that this issue should be corrected </w:t>
      </w:r>
      <w:r w:rsidR="003E7638" w:rsidRPr="004F2110">
        <w:t xml:space="preserve">in Rel-18 in case we </w:t>
      </w:r>
      <w:r w:rsidR="004F2110" w:rsidRPr="004F2110">
        <w:t xml:space="preserve">should target </w:t>
      </w:r>
      <w:r w:rsidR="002C0C34" w:rsidRPr="004F2110">
        <w:t>MN</w:t>
      </w:r>
      <w:r w:rsidR="00425493">
        <w:t xml:space="preserve"> </w:t>
      </w:r>
      <w:r w:rsidR="002C0C34" w:rsidRPr="004F2110">
        <w:t xml:space="preserve">initiated CPC </w:t>
      </w:r>
      <w:r w:rsidR="004F2110" w:rsidRPr="004F2110">
        <w:t>in the Rel-18 work.</w:t>
      </w:r>
    </w:p>
    <w:p w14:paraId="1B97C30E" w14:textId="4FFA2D78" w:rsidR="00793404" w:rsidRDefault="004F2110" w:rsidP="00793404">
      <w:pPr>
        <w:pStyle w:val="Proposal"/>
      </w:pPr>
      <w:bookmarkStart w:id="9" w:name="_Toc115426218"/>
      <w:r>
        <w:lastRenderedPageBreak/>
        <w:t>B</w:t>
      </w:r>
      <w:r w:rsidRPr="004F2110">
        <w:t xml:space="preserve">oth intra-SN and inter-SN Conditional </w:t>
      </w:r>
      <w:proofErr w:type="spellStart"/>
      <w:r w:rsidRPr="004F2110">
        <w:t>PSCell</w:t>
      </w:r>
      <w:proofErr w:type="spellEnd"/>
      <w:r w:rsidRPr="004F2110">
        <w:t xml:space="preserve"> Changes should be targeted in the Rel-18 work</w:t>
      </w:r>
      <w:r w:rsidR="00793404">
        <w:t>.</w:t>
      </w:r>
      <w:bookmarkEnd w:id="9"/>
    </w:p>
    <w:p w14:paraId="4BAF2DD5" w14:textId="4D35353D" w:rsidR="00BA40B1" w:rsidRDefault="00BA40B1" w:rsidP="00BA40B1">
      <w:pPr>
        <w:pStyle w:val="Proposal"/>
      </w:pPr>
      <w:bookmarkStart w:id="10" w:name="_Toc115426219"/>
      <w:r>
        <w:t>SN initiated</w:t>
      </w:r>
      <w:r w:rsidRPr="004F2110">
        <w:t xml:space="preserve"> inter-SN Conditional </w:t>
      </w:r>
      <w:proofErr w:type="spellStart"/>
      <w:r w:rsidRPr="004F2110">
        <w:t>PSCell</w:t>
      </w:r>
      <w:proofErr w:type="spellEnd"/>
      <w:r w:rsidRPr="004F2110">
        <w:t xml:space="preserve"> Changes should be </w:t>
      </w:r>
      <w:r>
        <w:t xml:space="preserve">supported </w:t>
      </w:r>
      <w:r w:rsidRPr="004F2110">
        <w:t xml:space="preserve">in the Rel-18 </w:t>
      </w:r>
      <w:r>
        <w:t>solution.</w:t>
      </w:r>
      <w:bookmarkEnd w:id="10"/>
    </w:p>
    <w:p w14:paraId="0DFB0FB7" w14:textId="4D44F256" w:rsidR="004F2110" w:rsidRDefault="00016CB9" w:rsidP="00793404">
      <w:pPr>
        <w:pStyle w:val="Proposal"/>
      </w:pPr>
      <w:bookmarkStart w:id="11" w:name="_Toc115426220"/>
      <w:r>
        <w:t>In case MN</w:t>
      </w:r>
      <w:r w:rsidR="00425493">
        <w:t xml:space="preserve"> </w:t>
      </w:r>
      <w:r>
        <w:t xml:space="preserve">initiated inter-SN CPC is to be targeted in the Rel-18 work, A3/A5 </w:t>
      </w:r>
      <w:r w:rsidR="004F2110">
        <w:t xml:space="preserve">events </w:t>
      </w:r>
      <w:r>
        <w:t xml:space="preserve">where the candidate target </w:t>
      </w:r>
      <w:proofErr w:type="spellStart"/>
      <w:r>
        <w:t>PSCell</w:t>
      </w:r>
      <w:proofErr w:type="spellEnd"/>
      <w:r>
        <w:t xml:space="preserve"> is compared with the current/serving </w:t>
      </w:r>
      <w:proofErr w:type="spellStart"/>
      <w:r>
        <w:t>PSCell</w:t>
      </w:r>
      <w:proofErr w:type="spellEnd"/>
      <w:r>
        <w:t xml:space="preserve"> should be supported </w:t>
      </w:r>
      <w:r w:rsidR="004F2110">
        <w:t>for MN</w:t>
      </w:r>
      <w:r w:rsidR="00425493">
        <w:t xml:space="preserve"> </w:t>
      </w:r>
      <w:r w:rsidR="004F2110">
        <w:t>initiated inter-SN CPC.</w:t>
      </w:r>
      <w:bookmarkEnd w:id="11"/>
    </w:p>
    <w:p w14:paraId="05F6C390" w14:textId="5B4F539E" w:rsidR="00793404" w:rsidRDefault="00793404" w:rsidP="00B93BF6">
      <w:pPr>
        <w:rPr>
          <w:highlight w:val="yellow"/>
        </w:rPr>
      </w:pPr>
    </w:p>
    <w:p w14:paraId="1272A625" w14:textId="28520551" w:rsidR="00BB1A6B" w:rsidRDefault="00BB1A6B" w:rsidP="00BB1A6B">
      <w:pPr>
        <w:pStyle w:val="Heading3"/>
      </w:pPr>
      <w:r>
        <w:t>2.</w:t>
      </w:r>
      <w:r w:rsidR="00F178A5">
        <w:t>3</w:t>
      </w:r>
      <w:r>
        <w:t>.3</w:t>
      </w:r>
      <w:r>
        <w:tab/>
        <w:t>Types of cell changes where CPC configurations could be kept</w:t>
      </w:r>
    </w:p>
    <w:p w14:paraId="61DFFF9C" w14:textId="62824BBD" w:rsidR="00633070" w:rsidRDefault="00D82E39" w:rsidP="00BB1A6B">
      <w:r>
        <w:t>At the RAN2#119-e meeting it was agreed that “</w:t>
      </w:r>
      <w:r w:rsidRPr="00D82E39">
        <w:rPr>
          <w:i/>
          <w:iCs/>
        </w:rPr>
        <w:t>The selective activation of cell groups should correspond to support of subsequent conditional changes (CPC) after a cell group change (normal or conditional).</w:t>
      </w:r>
      <w:r>
        <w:t xml:space="preserve">”. It </w:t>
      </w:r>
      <w:r w:rsidR="00AC1AF6">
        <w:t xml:space="preserve">is thus </w:t>
      </w:r>
      <w:r>
        <w:t xml:space="preserve">clear that subsequent CPCs </w:t>
      </w:r>
      <w:r w:rsidR="00AF46EB">
        <w:t xml:space="preserve">are to be supported </w:t>
      </w:r>
      <w:r>
        <w:t xml:space="preserve">after normal </w:t>
      </w:r>
      <w:proofErr w:type="spellStart"/>
      <w:r>
        <w:t>PSCell</w:t>
      </w:r>
      <w:proofErr w:type="spellEnd"/>
      <w:r>
        <w:t xml:space="preserve"> changes and </w:t>
      </w:r>
      <w:r w:rsidR="00AF46EB">
        <w:t>after CPC executions</w:t>
      </w:r>
      <w:r>
        <w:t xml:space="preserve">.  It is however not clear whether it also </w:t>
      </w:r>
      <w:r w:rsidR="0069027E">
        <w:t xml:space="preserve">includes </w:t>
      </w:r>
      <w:r>
        <w:t>subsequent CPCs after MCG cell group changes</w:t>
      </w:r>
      <w:r w:rsidR="00021683">
        <w:t xml:space="preserve"> (</w:t>
      </w:r>
      <w:proofErr w:type="spellStart"/>
      <w:r w:rsidR="00021683">
        <w:t>PCell</w:t>
      </w:r>
      <w:proofErr w:type="spellEnd"/>
      <w:r w:rsidR="00021683">
        <w:t xml:space="preserve"> changes)</w:t>
      </w:r>
      <w:r>
        <w:t xml:space="preserve">, </w:t>
      </w:r>
      <w:proofErr w:type="gramStart"/>
      <w:r>
        <w:t>i.e.</w:t>
      </w:r>
      <w:proofErr w:type="gramEnd"/>
      <w:r>
        <w:t xml:space="preserve"> after execution of a normal HO or </w:t>
      </w:r>
      <w:r w:rsidR="00AF46EB">
        <w:t xml:space="preserve">execution of </w:t>
      </w:r>
      <w:r>
        <w:t>CHO.</w:t>
      </w:r>
    </w:p>
    <w:p w14:paraId="251F67C3" w14:textId="5A54CB76" w:rsidR="00932F86" w:rsidRPr="00021683" w:rsidRDefault="00CB6A2C" w:rsidP="00BB1A6B">
      <w:r w:rsidRPr="00154097">
        <w:t xml:space="preserve">For inter-MN changes, </w:t>
      </w:r>
      <w:r w:rsidR="00021683">
        <w:t xml:space="preserve">there may be a need for </w:t>
      </w:r>
      <w:r w:rsidR="00021683" w:rsidRPr="00154097">
        <w:t xml:space="preserve">inter-node </w:t>
      </w:r>
      <w:proofErr w:type="spellStart"/>
      <w:r w:rsidR="00021683" w:rsidRPr="00154097">
        <w:t>signaling</w:t>
      </w:r>
      <w:proofErr w:type="spellEnd"/>
      <w:r w:rsidR="00021683">
        <w:t xml:space="preserve"> to support that CPC configurations are kept for </w:t>
      </w:r>
      <w:r w:rsidR="00913DAA" w:rsidRPr="00154097">
        <w:t>subsequent</w:t>
      </w:r>
      <w:r w:rsidR="00282415" w:rsidRPr="00154097">
        <w:t xml:space="preserve"> CPC</w:t>
      </w:r>
      <w:r w:rsidR="00021683">
        <w:t xml:space="preserve"> execution</w:t>
      </w:r>
      <w:r w:rsidR="00913DAA" w:rsidRPr="00154097">
        <w:t>s</w:t>
      </w:r>
      <w:r w:rsidR="005874CA" w:rsidRPr="00154097">
        <w:t>.</w:t>
      </w:r>
      <w:r w:rsidR="00467D96">
        <w:t xml:space="preserve"> </w:t>
      </w:r>
      <w:r w:rsidR="005874CA" w:rsidRPr="00021683">
        <w:t>It</w:t>
      </w:r>
      <w:r w:rsidR="00E022E8" w:rsidRPr="00021683">
        <w:t xml:space="preserve"> is also more likely that there is a need for </w:t>
      </w:r>
      <w:r w:rsidR="00467D96">
        <w:t xml:space="preserve">a </w:t>
      </w:r>
      <w:r w:rsidR="00E022E8" w:rsidRPr="00021683">
        <w:t xml:space="preserve">different MCG configuration </w:t>
      </w:r>
      <w:r w:rsidR="00021683" w:rsidRPr="00021683">
        <w:t xml:space="preserve">in the CPC configuration </w:t>
      </w:r>
      <w:r w:rsidR="00E022E8" w:rsidRPr="00021683">
        <w:t>(and then also that the SCG configuration would need to be different</w:t>
      </w:r>
      <w:r w:rsidR="0039323D" w:rsidRPr="00021683">
        <w:t>)</w:t>
      </w:r>
      <w:r w:rsidR="00021683" w:rsidRPr="00021683">
        <w:t xml:space="preserve"> in case there is a change of MN</w:t>
      </w:r>
      <w:r w:rsidR="0039323D" w:rsidRPr="00021683">
        <w:t>.</w:t>
      </w:r>
    </w:p>
    <w:p w14:paraId="1CEE0EB7" w14:textId="768A66ED" w:rsidR="00BB1A6B" w:rsidRDefault="00932F86" w:rsidP="00FC7DBC">
      <w:pPr>
        <w:pStyle w:val="Observation"/>
      </w:pPr>
      <w:bookmarkStart w:id="12" w:name="_Toc115426209"/>
      <w:r w:rsidRPr="00021683">
        <w:t>Keeping CPC configurations at inter-MN cell changes (</w:t>
      </w:r>
      <w:proofErr w:type="gramStart"/>
      <w:r w:rsidRPr="00021683">
        <w:t>i.e.</w:t>
      </w:r>
      <w:proofErr w:type="gramEnd"/>
      <w:r w:rsidRPr="00021683">
        <w:t xml:space="preserve"> at inter-MN CHO execution</w:t>
      </w:r>
      <w:r w:rsidRPr="00932F86">
        <w:t xml:space="preserve"> or at </w:t>
      </w:r>
      <w:r>
        <w:t>inter</w:t>
      </w:r>
      <w:r w:rsidRPr="00932F86">
        <w:t>-MN normal HO)</w:t>
      </w:r>
      <w:r>
        <w:t xml:space="preserve"> </w:t>
      </w:r>
      <w:r w:rsidR="00FC7DBC">
        <w:t>may require MCG</w:t>
      </w:r>
      <w:r w:rsidR="007333EB">
        <w:t xml:space="preserve"> reconfiguration and </w:t>
      </w:r>
      <w:r w:rsidR="00021683">
        <w:t>inter-node signalling</w:t>
      </w:r>
      <w:r w:rsidR="00BB1A6B" w:rsidRPr="00932F86">
        <w:t>.</w:t>
      </w:r>
      <w:bookmarkEnd w:id="12"/>
    </w:p>
    <w:p w14:paraId="7C314C36" w14:textId="22F5E097" w:rsidR="00E74C0E" w:rsidRDefault="00E74C0E" w:rsidP="00E74C0E"/>
    <w:p w14:paraId="4DB5D90C" w14:textId="5454732E" w:rsidR="00E74C0E" w:rsidRDefault="00E74C0E" w:rsidP="00E74C0E">
      <w:r w:rsidRPr="00154097">
        <w:t>For intra-MN</w:t>
      </w:r>
      <w:r>
        <w:t xml:space="preserve"> changes,</w:t>
      </w:r>
      <w:r w:rsidRPr="00154097">
        <w:t xml:space="preserve"> </w:t>
      </w:r>
      <w:r>
        <w:t>no</w:t>
      </w:r>
      <w:r w:rsidRPr="00154097">
        <w:t xml:space="preserve"> inter-node signalling</w:t>
      </w:r>
      <w:r>
        <w:t xml:space="preserve"> should be required</w:t>
      </w:r>
      <w:r w:rsidRPr="00154097">
        <w:t xml:space="preserve">. </w:t>
      </w:r>
      <w:r>
        <w:t>Moreover, since the MN is kept, the MCG configuration is more likely to still be applicable. Hence, this case should have less specification impact than inter-MN change case. However, it should generally be discussed whether any of those cases are allowed and, if allowed, which priority they should have.</w:t>
      </w:r>
    </w:p>
    <w:p w14:paraId="6D76E8F1" w14:textId="3C96B1D7" w:rsidR="00932F86" w:rsidRPr="00932F86" w:rsidRDefault="00932F86" w:rsidP="00BB1A6B">
      <w:pPr>
        <w:pStyle w:val="Proposal"/>
      </w:pPr>
      <w:bookmarkStart w:id="13" w:name="_Toc115426221"/>
      <w:r>
        <w:t>RAN2 to discuss whether i</w:t>
      </w:r>
      <w:r w:rsidRPr="00932F86">
        <w:t xml:space="preserve">t should be possible to keep CPC configurations at </w:t>
      </w:r>
      <w:proofErr w:type="spellStart"/>
      <w:r w:rsidR="00271478">
        <w:t>PCell</w:t>
      </w:r>
      <w:proofErr w:type="spellEnd"/>
      <w:r w:rsidR="00271478">
        <w:t xml:space="preserve"> change</w:t>
      </w:r>
      <w:r>
        <w:t>.</w:t>
      </w:r>
      <w:bookmarkEnd w:id="13"/>
    </w:p>
    <w:p w14:paraId="0DD8555B" w14:textId="77777777" w:rsidR="00BB1A6B" w:rsidRDefault="00BB1A6B" w:rsidP="00B93BF6">
      <w:pPr>
        <w:rPr>
          <w:highlight w:val="yellow"/>
        </w:rPr>
      </w:pPr>
    </w:p>
    <w:p w14:paraId="23057D2A" w14:textId="150FEF15" w:rsidR="00793404" w:rsidRDefault="00793404" w:rsidP="00793404">
      <w:pPr>
        <w:pStyle w:val="Heading3"/>
      </w:pPr>
      <w:r>
        <w:t>2.</w:t>
      </w:r>
      <w:r w:rsidR="00F178A5">
        <w:t>3</w:t>
      </w:r>
      <w:r>
        <w:t>.</w:t>
      </w:r>
      <w:r w:rsidR="00BB1A6B">
        <w:t>4</w:t>
      </w:r>
      <w:r>
        <w:tab/>
        <w:t>Handling of execution conditions and measurement configurations</w:t>
      </w:r>
    </w:p>
    <w:p w14:paraId="249F7C91" w14:textId="38C265B6" w:rsidR="00793404" w:rsidRDefault="005E7FD1" w:rsidP="00793404">
      <w:pPr>
        <w:rPr>
          <w:highlight w:val="yellow"/>
        </w:rPr>
      </w:pPr>
      <w:r w:rsidRPr="005E7FD1">
        <w:t xml:space="preserve">When the UE stores the CPC configuration after </w:t>
      </w:r>
      <w:r w:rsidR="00B56B30">
        <w:t xml:space="preserve">a </w:t>
      </w:r>
      <w:r w:rsidRPr="005E7FD1">
        <w:t xml:space="preserve">cell group change, as </w:t>
      </w:r>
      <w:r w:rsidR="00F63FFE">
        <w:t xml:space="preserve">discussed </w:t>
      </w:r>
      <w:r w:rsidRPr="005E7FD1">
        <w:t xml:space="preserve">in </w:t>
      </w:r>
      <w:r w:rsidR="00F63FFE">
        <w:t xml:space="preserve">section </w:t>
      </w:r>
      <w:r w:rsidRPr="005E7FD1">
        <w:t xml:space="preserve">2.3.1, the corresponding execution conditions and conditional </w:t>
      </w:r>
      <w:proofErr w:type="spellStart"/>
      <w:r w:rsidRPr="00FB0994">
        <w:rPr>
          <w:i/>
          <w:iCs/>
        </w:rPr>
        <w:t>measConfig</w:t>
      </w:r>
      <w:proofErr w:type="spellEnd"/>
      <w:r w:rsidRPr="005E7FD1">
        <w:t xml:space="preserve"> parts should </w:t>
      </w:r>
      <w:r w:rsidR="00F63FFE">
        <w:t xml:space="preserve">also </w:t>
      </w:r>
      <w:r w:rsidRPr="005E7FD1">
        <w:t xml:space="preserve">be kept </w:t>
      </w:r>
      <w:proofErr w:type="gramStart"/>
      <w:r w:rsidR="00F63FFE">
        <w:t>in order to</w:t>
      </w:r>
      <w:proofErr w:type="gramEnd"/>
      <w:r w:rsidR="00F63FFE">
        <w:t xml:space="preserve"> avoid the need for reconfigurations</w:t>
      </w:r>
      <w:r w:rsidRPr="005E7FD1">
        <w:t>.</w:t>
      </w:r>
    </w:p>
    <w:p w14:paraId="184DC917" w14:textId="0B9561C9" w:rsidR="00793404" w:rsidRDefault="006E6A94" w:rsidP="00793404">
      <w:pPr>
        <w:pStyle w:val="Proposal"/>
      </w:pPr>
      <w:bookmarkStart w:id="14" w:name="_Toc115426222"/>
      <w:r>
        <w:t xml:space="preserve">When the </w:t>
      </w:r>
      <w:r w:rsidRPr="00DC5A16">
        <w:t xml:space="preserve">CPC configuration </w:t>
      </w:r>
      <w:r>
        <w:t xml:space="preserve">is stored </w:t>
      </w:r>
      <w:r w:rsidRPr="00DC5A16">
        <w:t>after cell group change</w:t>
      </w:r>
      <w:r>
        <w:t>, t</w:t>
      </w:r>
      <w:r w:rsidR="002978A5">
        <w:t xml:space="preserve">he UE should </w:t>
      </w:r>
      <w:r w:rsidR="00DC5A16">
        <w:t>keep</w:t>
      </w:r>
      <w:r w:rsidR="002978A5">
        <w:t xml:space="preserve"> the </w:t>
      </w:r>
      <w:r>
        <w:t xml:space="preserve">corresponding </w:t>
      </w:r>
      <w:r w:rsidR="002978A5" w:rsidRPr="005E7FD1">
        <w:t xml:space="preserve">execution conditions and conditional </w:t>
      </w:r>
      <w:proofErr w:type="spellStart"/>
      <w:r w:rsidR="002978A5" w:rsidRPr="00FB0994">
        <w:rPr>
          <w:i/>
          <w:iCs/>
        </w:rPr>
        <w:t>measConfig</w:t>
      </w:r>
      <w:proofErr w:type="spellEnd"/>
      <w:r w:rsidR="00793404">
        <w:t>.</w:t>
      </w:r>
      <w:bookmarkEnd w:id="14"/>
    </w:p>
    <w:p w14:paraId="7B0EEE8C" w14:textId="77777777" w:rsidR="00B47963" w:rsidRDefault="00B47963" w:rsidP="00B47963"/>
    <w:p w14:paraId="1F9CAFE0" w14:textId="0309B311" w:rsidR="00B47963" w:rsidRDefault="002139AC" w:rsidP="00B47963">
      <w:r>
        <w:t xml:space="preserve">In some </w:t>
      </w:r>
      <w:proofErr w:type="gramStart"/>
      <w:r>
        <w:t>cases</w:t>
      </w:r>
      <w:proofErr w:type="gramEnd"/>
      <w:r>
        <w:t xml:space="preserve"> t</w:t>
      </w:r>
      <w:r w:rsidR="00B47963">
        <w:t xml:space="preserve">he </w:t>
      </w:r>
      <w:r w:rsidR="00E3779F">
        <w:t xml:space="preserve">stored </w:t>
      </w:r>
      <w:r w:rsidR="00B47963">
        <w:t xml:space="preserve">execution conditions and conditional </w:t>
      </w:r>
      <w:proofErr w:type="spellStart"/>
      <w:r w:rsidR="00B47963" w:rsidRPr="00E3779F">
        <w:rPr>
          <w:i/>
          <w:iCs/>
        </w:rPr>
        <w:t>measConfig</w:t>
      </w:r>
      <w:proofErr w:type="spellEnd"/>
      <w:r w:rsidR="00B47963">
        <w:t xml:space="preserve"> might not </w:t>
      </w:r>
      <w:r>
        <w:t xml:space="preserve">be optimal </w:t>
      </w:r>
      <w:r w:rsidR="00B47963">
        <w:t xml:space="preserve">when the UE </w:t>
      </w:r>
      <w:r w:rsidR="00B56B30">
        <w:t xml:space="preserve">performs a </w:t>
      </w:r>
      <w:proofErr w:type="spellStart"/>
      <w:r w:rsidR="00B56B30">
        <w:t>PSCell</w:t>
      </w:r>
      <w:proofErr w:type="spellEnd"/>
      <w:r w:rsidR="00B56B30">
        <w:t xml:space="preserve"> change </w:t>
      </w:r>
      <w:r w:rsidR="00B47963">
        <w:t xml:space="preserve">to </w:t>
      </w:r>
      <w:r>
        <w:t xml:space="preserve">a new </w:t>
      </w:r>
      <w:r w:rsidR="00B47963">
        <w:t xml:space="preserve">target SN. </w:t>
      </w:r>
      <w:r w:rsidR="00B56B30">
        <w:t>F</w:t>
      </w:r>
      <w:r w:rsidR="002818CA">
        <w:t>or SN initiated CPC configurations, t</w:t>
      </w:r>
      <w:r w:rsidR="00B47963">
        <w:t xml:space="preserve">he target SN </w:t>
      </w:r>
      <w:r>
        <w:t xml:space="preserve">therefore </w:t>
      </w:r>
      <w:r w:rsidR="008B082C">
        <w:t xml:space="preserve">needs to </w:t>
      </w:r>
      <w:r w:rsidR="00B47963">
        <w:t xml:space="preserve">have the possibility to update </w:t>
      </w:r>
      <w:r>
        <w:t xml:space="preserve">the execution conditions and corresponding </w:t>
      </w:r>
      <w:proofErr w:type="spellStart"/>
      <w:r w:rsidRPr="002139AC">
        <w:rPr>
          <w:i/>
          <w:iCs/>
        </w:rPr>
        <w:t>measConfig</w:t>
      </w:r>
      <w:proofErr w:type="spellEnd"/>
      <w:r w:rsidR="00B47963">
        <w:t>. This</w:t>
      </w:r>
      <w:r w:rsidR="008B082C">
        <w:t xml:space="preserve">, in turn, </w:t>
      </w:r>
      <w:r w:rsidR="00B47963">
        <w:t xml:space="preserve">requires that the target SN </w:t>
      </w:r>
      <w:r w:rsidR="00F96146">
        <w:t xml:space="preserve">is aware of the </w:t>
      </w:r>
      <w:r w:rsidR="002D1B04" w:rsidRPr="002D1B04">
        <w:t xml:space="preserve">execution conditions and conditional </w:t>
      </w:r>
      <w:proofErr w:type="spellStart"/>
      <w:r w:rsidR="002D1B04" w:rsidRPr="002D1B04">
        <w:rPr>
          <w:i/>
          <w:iCs/>
        </w:rPr>
        <w:t>measConfig</w:t>
      </w:r>
      <w:proofErr w:type="spellEnd"/>
      <w:r w:rsidR="00B47963">
        <w:t xml:space="preserve"> </w:t>
      </w:r>
      <w:r w:rsidR="00EC5121">
        <w:t>that</w:t>
      </w:r>
      <w:r w:rsidR="00B47963">
        <w:t xml:space="preserve"> the UE</w:t>
      </w:r>
      <w:r w:rsidR="00EC5121">
        <w:t xml:space="preserve"> has stored</w:t>
      </w:r>
      <w:r w:rsidR="00B47963">
        <w:t>.</w:t>
      </w:r>
    </w:p>
    <w:p w14:paraId="6815ABD4" w14:textId="0BEE59D2" w:rsidR="00297581" w:rsidRPr="00B7418F" w:rsidRDefault="00B47963" w:rsidP="00297581">
      <w:r>
        <w:t xml:space="preserve">The following alternatives </w:t>
      </w:r>
      <w:r w:rsidR="008B082C">
        <w:t xml:space="preserve">for the target SN to get hold of the execution conditions and related conditional </w:t>
      </w:r>
      <w:proofErr w:type="spellStart"/>
      <w:r w:rsidR="008B082C" w:rsidRPr="008B082C">
        <w:rPr>
          <w:i/>
          <w:iCs/>
        </w:rPr>
        <w:t>measConfig</w:t>
      </w:r>
      <w:proofErr w:type="spellEnd"/>
      <w:r w:rsidR="008B082C">
        <w:t xml:space="preserve"> </w:t>
      </w:r>
      <w:r w:rsidR="002818CA">
        <w:t xml:space="preserve">for SN initiated CPC configurations </w:t>
      </w:r>
      <w:r>
        <w:t>can be identified:</w:t>
      </w:r>
    </w:p>
    <w:p w14:paraId="6D56CC67" w14:textId="0CF76F6F" w:rsidR="00B47DD1" w:rsidRPr="00B47DD1" w:rsidRDefault="00B47963" w:rsidP="008409F6">
      <w:pPr>
        <w:pStyle w:val="ListParagraph"/>
        <w:numPr>
          <w:ilvl w:val="0"/>
          <w:numId w:val="28"/>
        </w:numPr>
        <w:rPr>
          <w:rFonts w:ascii="Times New Roman" w:hAnsi="Times New Roman"/>
          <w:sz w:val="20"/>
          <w:szCs w:val="20"/>
        </w:rPr>
      </w:pPr>
      <w:r w:rsidRPr="00B47DD1">
        <w:rPr>
          <w:rFonts w:ascii="Times New Roman" w:hAnsi="Times New Roman"/>
          <w:sz w:val="20"/>
          <w:szCs w:val="20"/>
        </w:rPr>
        <w:t xml:space="preserve">The MN informs the target SN about </w:t>
      </w:r>
      <w:r w:rsidR="003148BF" w:rsidRPr="00B47DD1">
        <w:rPr>
          <w:rFonts w:ascii="Times New Roman" w:hAnsi="Times New Roman"/>
          <w:sz w:val="20"/>
          <w:szCs w:val="20"/>
        </w:rPr>
        <w:t xml:space="preserve">the execution conditions and conditional </w:t>
      </w:r>
      <w:proofErr w:type="spellStart"/>
      <w:r w:rsidR="003148BF" w:rsidRPr="00A8671A">
        <w:rPr>
          <w:rFonts w:ascii="Times New Roman" w:hAnsi="Times New Roman"/>
          <w:i/>
          <w:iCs/>
          <w:sz w:val="20"/>
          <w:szCs w:val="20"/>
        </w:rPr>
        <w:t>measConfig</w:t>
      </w:r>
      <w:proofErr w:type="spellEnd"/>
      <w:r w:rsidR="003148BF" w:rsidRPr="00B47DD1">
        <w:rPr>
          <w:rFonts w:ascii="Times New Roman" w:hAnsi="Times New Roman"/>
          <w:sz w:val="20"/>
          <w:szCs w:val="20"/>
        </w:rPr>
        <w:t xml:space="preserve"> </w:t>
      </w:r>
      <w:r w:rsidRPr="00B47DD1">
        <w:rPr>
          <w:rFonts w:ascii="Times New Roman" w:hAnsi="Times New Roman"/>
          <w:sz w:val="20"/>
          <w:szCs w:val="20"/>
        </w:rPr>
        <w:t xml:space="preserve">stored by the UE. </w:t>
      </w:r>
      <w:r w:rsidR="003148BF" w:rsidRPr="00B47DD1">
        <w:rPr>
          <w:rFonts w:ascii="Times New Roman" w:hAnsi="Times New Roman"/>
          <w:sz w:val="20"/>
          <w:szCs w:val="20"/>
        </w:rPr>
        <w:t>Th</w:t>
      </w:r>
      <w:r w:rsidR="002556FA">
        <w:rPr>
          <w:rFonts w:ascii="Times New Roman" w:hAnsi="Times New Roman"/>
          <w:sz w:val="20"/>
          <w:szCs w:val="20"/>
          <w:lang w:val="en-US"/>
        </w:rPr>
        <w:t>is</w:t>
      </w:r>
      <w:r w:rsidR="003148BF" w:rsidRPr="00B47DD1">
        <w:rPr>
          <w:rFonts w:ascii="Times New Roman" w:hAnsi="Times New Roman"/>
          <w:sz w:val="20"/>
          <w:szCs w:val="20"/>
        </w:rPr>
        <w:t xml:space="preserve"> information can </w:t>
      </w:r>
      <w:r w:rsidR="002139AC">
        <w:rPr>
          <w:rFonts w:ascii="Times New Roman" w:hAnsi="Times New Roman"/>
          <w:sz w:val="20"/>
          <w:szCs w:val="20"/>
          <w:lang w:val="en-US"/>
        </w:rPr>
        <w:t xml:space="preserve">e.g. </w:t>
      </w:r>
      <w:r w:rsidR="003148BF" w:rsidRPr="00B47DD1">
        <w:rPr>
          <w:rFonts w:ascii="Times New Roman" w:hAnsi="Times New Roman"/>
          <w:sz w:val="20"/>
          <w:szCs w:val="20"/>
        </w:rPr>
        <w:t xml:space="preserve">be </w:t>
      </w:r>
      <w:r w:rsidR="003D6884">
        <w:rPr>
          <w:rFonts w:ascii="Times New Roman" w:hAnsi="Times New Roman"/>
          <w:sz w:val="20"/>
          <w:szCs w:val="20"/>
          <w:lang w:val="en-US"/>
        </w:rPr>
        <w:t>provided</w:t>
      </w:r>
      <w:r w:rsidR="003148BF" w:rsidRPr="00B47DD1">
        <w:rPr>
          <w:rFonts w:ascii="Times New Roman" w:hAnsi="Times New Roman"/>
          <w:sz w:val="20"/>
          <w:szCs w:val="20"/>
        </w:rPr>
        <w:t xml:space="preserve"> </w:t>
      </w:r>
      <w:r w:rsidR="00C34F8E" w:rsidRPr="00B47DD1">
        <w:rPr>
          <w:rFonts w:ascii="Times New Roman" w:hAnsi="Times New Roman"/>
          <w:sz w:val="20"/>
          <w:szCs w:val="20"/>
        </w:rPr>
        <w:t xml:space="preserve">when the </w:t>
      </w:r>
      <w:r w:rsidR="00E7513D" w:rsidRPr="00B47DD1">
        <w:rPr>
          <w:rFonts w:ascii="Times New Roman" w:hAnsi="Times New Roman"/>
          <w:sz w:val="20"/>
          <w:szCs w:val="20"/>
        </w:rPr>
        <w:t xml:space="preserve">MN </w:t>
      </w:r>
      <w:r w:rsidR="00B47DD1">
        <w:rPr>
          <w:rFonts w:ascii="Times New Roman" w:hAnsi="Times New Roman"/>
          <w:sz w:val="20"/>
          <w:szCs w:val="20"/>
          <w:lang w:val="en-US"/>
        </w:rPr>
        <w:t>send</w:t>
      </w:r>
      <w:r w:rsidR="005B00F4">
        <w:rPr>
          <w:rFonts w:ascii="Times New Roman" w:hAnsi="Times New Roman"/>
          <w:sz w:val="20"/>
          <w:szCs w:val="20"/>
          <w:lang w:val="en-US"/>
        </w:rPr>
        <w:t>s</w:t>
      </w:r>
      <w:r w:rsidR="00B47DD1">
        <w:rPr>
          <w:rFonts w:ascii="Times New Roman" w:hAnsi="Times New Roman"/>
          <w:sz w:val="20"/>
          <w:szCs w:val="20"/>
          <w:lang w:val="en-US"/>
        </w:rPr>
        <w:t xml:space="preserve"> to</w:t>
      </w:r>
      <w:r w:rsidR="00E7513D" w:rsidRPr="00B47DD1">
        <w:rPr>
          <w:rFonts w:ascii="Times New Roman" w:hAnsi="Times New Roman"/>
          <w:sz w:val="20"/>
          <w:szCs w:val="20"/>
        </w:rPr>
        <w:t xml:space="preserve"> the target SN </w:t>
      </w:r>
      <w:r w:rsidR="002139AC">
        <w:rPr>
          <w:rFonts w:ascii="Times New Roman" w:hAnsi="Times New Roman"/>
          <w:sz w:val="20"/>
          <w:szCs w:val="20"/>
          <w:lang w:val="en-US"/>
        </w:rPr>
        <w:t xml:space="preserve">information about </w:t>
      </w:r>
      <w:r w:rsidR="00E7513D" w:rsidRPr="00B47DD1">
        <w:rPr>
          <w:rFonts w:ascii="Times New Roman" w:hAnsi="Times New Roman"/>
          <w:sz w:val="20"/>
          <w:szCs w:val="20"/>
        </w:rPr>
        <w:t>the SN</w:t>
      </w:r>
      <w:r w:rsidR="00425493">
        <w:rPr>
          <w:rFonts w:ascii="Times New Roman" w:hAnsi="Times New Roman"/>
          <w:sz w:val="20"/>
          <w:szCs w:val="20"/>
          <w:lang w:val="en-US"/>
        </w:rPr>
        <w:t xml:space="preserve"> </w:t>
      </w:r>
      <w:r w:rsidR="00E7513D" w:rsidRPr="00B47DD1">
        <w:rPr>
          <w:rFonts w:ascii="Times New Roman" w:hAnsi="Times New Roman"/>
          <w:sz w:val="20"/>
          <w:szCs w:val="20"/>
        </w:rPr>
        <w:t xml:space="preserve">initiated </w:t>
      </w:r>
      <w:r w:rsidR="002139AC">
        <w:rPr>
          <w:rFonts w:ascii="Times New Roman" w:hAnsi="Times New Roman"/>
          <w:sz w:val="20"/>
          <w:szCs w:val="20"/>
          <w:lang w:val="en-US"/>
        </w:rPr>
        <w:t xml:space="preserve">CPC </w:t>
      </w:r>
      <w:r w:rsidR="00E7513D" w:rsidRPr="00B47DD1">
        <w:rPr>
          <w:rFonts w:ascii="Times New Roman" w:hAnsi="Times New Roman"/>
          <w:sz w:val="20"/>
          <w:szCs w:val="20"/>
        </w:rPr>
        <w:t>configurations that the UE has stored</w:t>
      </w:r>
      <w:r w:rsidR="002139AC">
        <w:rPr>
          <w:rFonts w:ascii="Times New Roman" w:hAnsi="Times New Roman"/>
          <w:sz w:val="20"/>
          <w:szCs w:val="20"/>
          <w:lang w:val="en-US"/>
        </w:rPr>
        <w:t xml:space="preserve">, as </w:t>
      </w:r>
      <w:r w:rsidR="008B082C">
        <w:rPr>
          <w:rFonts w:ascii="Times New Roman" w:hAnsi="Times New Roman"/>
          <w:sz w:val="20"/>
          <w:szCs w:val="20"/>
          <w:lang w:val="en-US"/>
        </w:rPr>
        <w:t>discussed in section 2.3.1</w:t>
      </w:r>
      <w:r w:rsidR="00C34F8E" w:rsidRPr="00B47DD1">
        <w:rPr>
          <w:rFonts w:ascii="Times New Roman" w:hAnsi="Times New Roman"/>
          <w:sz w:val="20"/>
          <w:szCs w:val="20"/>
        </w:rPr>
        <w:t>.</w:t>
      </w:r>
    </w:p>
    <w:p w14:paraId="34D63AA0" w14:textId="7C9367AA" w:rsidR="00CE7EEE" w:rsidRPr="00B47DD1" w:rsidRDefault="00B47963" w:rsidP="008409F6">
      <w:pPr>
        <w:pStyle w:val="ListParagraph"/>
        <w:numPr>
          <w:ilvl w:val="0"/>
          <w:numId w:val="28"/>
        </w:numPr>
        <w:rPr>
          <w:rFonts w:ascii="Times New Roman" w:hAnsi="Times New Roman"/>
          <w:sz w:val="20"/>
          <w:szCs w:val="20"/>
        </w:rPr>
      </w:pPr>
      <w:r w:rsidRPr="00B47DD1">
        <w:rPr>
          <w:rFonts w:ascii="Times New Roman" w:hAnsi="Times New Roman"/>
          <w:sz w:val="20"/>
          <w:szCs w:val="20"/>
        </w:rPr>
        <w:t xml:space="preserve">The UE sends to the target SN (via the MN) the stored </w:t>
      </w:r>
      <w:r w:rsidR="006769B6" w:rsidRPr="00B47DD1">
        <w:rPr>
          <w:rFonts w:ascii="Times New Roman" w:hAnsi="Times New Roman"/>
          <w:sz w:val="20"/>
          <w:szCs w:val="20"/>
        </w:rPr>
        <w:t xml:space="preserve">the execution conditions and conditional </w:t>
      </w:r>
      <w:proofErr w:type="spellStart"/>
      <w:r w:rsidR="006769B6" w:rsidRPr="00A8671A">
        <w:rPr>
          <w:rFonts w:ascii="Times New Roman" w:hAnsi="Times New Roman"/>
          <w:i/>
          <w:iCs/>
          <w:sz w:val="20"/>
          <w:szCs w:val="20"/>
        </w:rPr>
        <w:t>measConfig</w:t>
      </w:r>
      <w:proofErr w:type="spellEnd"/>
      <w:r w:rsidRPr="00B47DD1">
        <w:rPr>
          <w:rFonts w:ascii="Times New Roman" w:hAnsi="Times New Roman"/>
          <w:sz w:val="20"/>
          <w:szCs w:val="20"/>
        </w:rPr>
        <w:t xml:space="preserve"> when executing the </w:t>
      </w:r>
      <w:proofErr w:type="spellStart"/>
      <w:r w:rsidR="00B56B30">
        <w:rPr>
          <w:rFonts w:ascii="Times New Roman" w:hAnsi="Times New Roman"/>
          <w:sz w:val="20"/>
          <w:szCs w:val="20"/>
          <w:lang w:val="en-US"/>
        </w:rPr>
        <w:t>PSCell</w:t>
      </w:r>
      <w:proofErr w:type="spellEnd"/>
      <w:r w:rsidR="008B082C">
        <w:rPr>
          <w:rFonts w:ascii="Times New Roman" w:hAnsi="Times New Roman"/>
          <w:sz w:val="20"/>
          <w:szCs w:val="20"/>
          <w:lang w:val="en-US"/>
        </w:rPr>
        <w:t xml:space="preserve"> change procedure </w:t>
      </w:r>
      <w:r w:rsidRPr="00B47DD1">
        <w:rPr>
          <w:rFonts w:ascii="Times New Roman" w:hAnsi="Times New Roman"/>
          <w:sz w:val="20"/>
          <w:szCs w:val="20"/>
        </w:rPr>
        <w:t xml:space="preserve">(e.g. in </w:t>
      </w:r>
      <w:proofErr w:type="spellStart"/>
      <w:r w:rsidRPr="008B082C">
        <w:rPr>
          <w:rFonts w:ascii="Times New Roman" w:hAnsi="Times New Roman"/>
          <w:i/>
          <w:iCs/>
          <w:sz w:val="20"/>
          <w:szCs w:val="20"/>
        </w:rPr>
        <w:t>RRCReconfigurationComplete</w:t>
      </w:r>
      <w:proofErr w:type="spellEnd"/>
      <w:r w:rsidRPr="00B47DD1">
        <w:rPr>
          <w:rFonts w:ascii="Times New Roman" w:hAnsi="Times New Roman"/>
          <w:sz w:val="20"/>
          <w:szCs w:val="20"/>
        </w:rPr>
        <w:t>).</w:t>
      </w:r>
    </w:p>
    <w:p w14:paraId="6720D7EB" w14:textId="77777777" w:rsidR="00CE7AAB" w:rsidRDefault="00CE7AAB" w:rsidP="003F3876">
      <w:pPr>
        <w:rPr>
          <w:highlight w:val="yellow"/>
        </w:rPr>
      </w:pPr>
    </w:p>
    <w:p w14:paraId="4C373357" w14:textId="020E5E30" w:rsidR="00746125" w:rsidRPr="00B56B30" w:rsidRDefault="00CE7AAB" w:rsidP="003F3876">
      <w:r w:rsidRPr="00B56B30">
        <w:lastRenderedPageBreak/>
        <w:t>T</w:t>
      </w:r>
      <w:r w:rsidR="008B082C" w:rsidRPr="00B56B30">
        <w:t xml:space="preserve">o let </w:t>
      </w:r>
      <w:r w:rsidRPr="00B56B30">
        <w:t xml:space="preserve">the </w:t>
      </w:r>
      <w:proofErr w:type="gramStart"/>
      <w:r w:rsidRPr="00B56B30">
        <w:t>MN</w:t>
      </w:r>
      <w:proofErr w:type="gramEnd"/>
      <w:r w:rsidRPr="00B56B30">
        <w:t xml:space="preserve"> provide </w:t>
      </w:r>
      <w:r w:rsidR="00454625" w:rsidRPr="00B56B30">
        <w:t xml:space="preserve">the execution conditions and conditional </w:t>
      </w:r>
      <w:proofErr w:type="spellStart"/>
      <w:r w:rsidR="00454625" w:rsidRPr="00B56B30">
        <w:rPr>
          <w:i/>
          <w:iCs/>
        </w:rPr>
        <w:t>measConfig</w:t>
      </w:r>
      <w:proofErr w:type="spellEnd"/>
      <w:r w:rsidR="00454625" w:rsidRPr="00B56B30">
        <w:t xml:space="preserve"> to the target SN </w:t>
      </w:r>
      <w:r w:rsidR="002E7133" w:rsidRPr="00B56B30">
        <w:t xml:space="preserve">requires that the MN </w:t>
      </w:r>
      <w:r w:rsidR="008B082C" w:rsidRPr="00B56B30">
        <w:t xml:space="preserve">keeps </w:t>
      </w:r>
      <w:r w:rsidR="002818CA" w:rsidRPr="00B56B30">
        <w:t xml:space="preserve">an up to date </w:t>
      </w:r>
      <w:r w:rsidR="008B082C" w:rsidRPr="00B56B30">
        <w:t xml:space="preserve">list of </w:t>
      </w:r>
      <w:r w:rsidR="002818CA" w:rsidRPr="00B56B30">
        <w:t xml:space="preserve">the </w:t>
      </w:r>
      <w:r w:rsidR="008B082C" w:rsidRPr="00B56B30">
        <w:t xml:space="preserve">execution conditions and the SCG </w:t>
      </w:r>
      <w:proofErr w:type="spellStart"/>
      <w:r w:rsidR="008B082C" w:rsidRPr="00B56B30">
        <w:rPr>
          <w:i/>
          <w:iCs/>
        </w:rPr>
        <w:t>measConfig</w:t>
      </w:r>
      <w:proofErr w:type="spellEnd"/>
      <w:r w:rsidR="008B082C" w:rsidRPr="00B56B30">
        <w:t xml:space="preserve"> and </w:t>
      </w:r>
      <w:r w:rsidR="00632833" w:rsidRPr="00B56B30">
        <w:t xml:space="preserve">then </w:t>
      </w:r>
      <w:r w:rsidR="008B082C" w:rsidRPr="00B56B30">
        <w:t xml:space="preserve">transmits </w:t>
      </w:r>
      <w:r w:rsidR="00632833" w:rsidRPr="00B56B30">
        <w:t xml:space="preserve">these </w:t>
      </w:r>
      <w:r w:rsidR="008B082C" w:rsidRPr="00B56B30">
        <w:t xml:space="preserve">to the </w:t>
      </w:r>
      <w:r w:rsidR="00632833" w:rsidRPr="00B56B30">
        <w:t xml:space="preserve">target SN </w:t>
      </w:r>
      <w:r w:rsidR="002818CA" w:rsidRPr="00B56B30">
        <w:t>at the cell change procedure</w:t>
      </w:r>
      <w:r w:rsidR="00B2522E" w:rsidRPr="00B56B30">
        <w:t>.</w:t>
      </w:r>
      <w:r w:rsidR="002818CA" w:rsidRPr="00B56B30">
        <w:t xml:space="preserve"> </w:t>
      </w:r>
      <w:r w:rsidR="007619BE" w:rsidRPr="00B56B30">
        <w:t xml:space="preserve">The alternative where the </w:t>
      </w:r>
      <w:r w:rsidR="006C5B71" w:rsidRPr="00B56B30">
        <w:t xml:space="preserve">UE sends </w:t>
      </w:r>
      <w:r w:rsidR="002818CA" w:rsidRPr="00B56B30">
        <w:t xml:space="preserve">the information about the execution conditions and conditional </w:t>
      </w:r>
      <w:proofErr w:type="spellStart"/>
      <w:r w:rsidR="002818CA" w:rsidRPr="00B56B30">
        <w:rPr>
          <w:i/>
          <w:iCs/>
        </w:rPr>
        <w:t>measConfig</w:t>
      </w:r>
      <w:proofErr w:type="spellEnd"/>
      <w:r w:rsidR="002818CA" w:rsidRPr="00B56B30">
        <w:t xml:space="preserve"> </w:t>
      </w:r>
      <w:r w:rsidR="006C5B71" w:rsidRPr="00B56B30">
        <w:t xml:space="preserve">to the target </w:t>
      </w:r>
      <w:proofErr w:type="gramStart"/>
      <w:r w:rsidR="006C5B71" w:rsidRPr="00B56B30">
        <w:t xml:space="preserve">SN  </w:t>
      </w:r>
      <w:r w:rsidR="002818CA" w:rsidRPr="00B56B30">
        <w:t>would</w:t>
      </w:r>
      <w:proofErr w:type="gramEnd"/>
      <w:r w:rsidR="002818CA" w:rsidRPr="00B56B30">
        <w:t xml:space="preserve"> </w:t>
      </w:r>
      <w:r w:rsidR="006C5B71" w:rsidRPr="00B56B30">
        <w:t>increase the signalling</w:t>
      </w:r>
      <w:r w:rsidR="006646DC" w:rsidRPr="00B56B30">
        <w:t xml:space="preserve"> over the air interface</w:t>
      </w:r>
      <w:r w:rsidR="002818CA" w:rsidRPr="00B56B30">
        <w:t>, which should preferably be avoided</w:t>
      </w:r>
      <w:r w:rsidR="006C5B71" w:rsidRPr="00B56B30">
        <w:t>.</w:t>
      </w:r>
      <w:r w:rsidR="002818CA" w:rsidRPr="00B56B30">
        <w:t xml:space="preserve"> We therefore prefer the solution where the MN provides the stored execution conditions and the related conditional </w:t>
      </w:r>
      <w:proofErr w:type="spellStart"/>
      <w:r w:rsidR="002818CA" w:rsidRPr="00B56B30">
        <w:rPr>
          <w:i/>
          <w:iCs/>
        </w:rPr>
        <w:t>measConfig</w:t>
      </w:r>
      <w:proofErr w:type="spellEnd"/>
      <w:r w:rsidR="002818CA" w:rsidRPr="00B56B30">
        <w:t xml:space="preserve"> to the target SN, together with the </w:t>
      </w:r>
      <w:r w:rsidR="00B56B30" w:rsidRPr="00B56B30">
        <w:t xml:space="preserve">corresponding </w:t>
      </w:r>
      <w:r w:rsidR="002818CA" w:rsidRPr="00B56B30">
        <w:t>SN initiated CPC configurations.</w:t>
      </w:r>
    </w:p>
    <w:p w14:paraId="61342C60" w14:textId="64016595" w:rsidR="00BD3C10" w:rsidRDefault="00BE636E" w:rsidP="00BD3C10">
      <w:pPr>
        <w:pStyle w:val="Proposal"/>
      </w:pPr>
      <w:bookmarkStart w:id="15" w:name="_Toc115426223"/>
      <w:r>
        <w:t xml:space="preserve">The MN </w:t>
      </w:r>
      <w:r w:rsidR="002818CA">
        <w:t>should</w:t>
      </w:r>
      <w:r w:rsidR="00B56B30">
        <w:t xml:space="preserve">, at </w:t>
      </w:r>
      <w:proofErr w:type="spellStart"/>
      <w:r w:rsidR="00B56B30">
        <w:t>PSCell</w:t>
      </w:r>
      <w:proofErr w:type="spellEnd"/>
      <w:r w:rsidR="00B56B30">
        <w:t xml:space="preserve"> change procedures, </w:t>
      </w:r>
      <w:r>
        <w:t xml:space="preserve">provide the </w:t>
      </w:r>
      <w:r w:rsidR="00BD3C10" w:rsidRPr="00BD3C10">
        <w:t xml:space="preserve">execution conditions and </w:t>
      </w:r>
      <w:r w:rsidR="002818CA">
        <w:t xml:space="preserve">the related </w:t>
      </w:r>
      <w:r w:rsidR="00BD3C10" w:rsidRPr="00BD3C10">
        <w:t xml:space="preserve">conditional </w:t>
      </w:r>
      <w:proofErr w:type="spellStart"/>
      <w:r w:rsidR="00BD3C10" w:rsidRPr="00BD3C10">
        <w:rPr>
          <w:i/>
          <w:iCs/>
        </w:rPr>
        <w:t>measConfig</w:t>
      </w:r>
      <w:proofErr w:type="spellEnd"/>
      <w:r>
        <w:t xml:space="preserve"> </w:t>
      </w:r>
      <w:r w:rsidR="00B56B30">
        <w:t xml:space="preserve">for SN initiated CPC configurations (together with </w:t>
      </w:r>
      <w:r w:rsidR="00B56B30" w:rsidRPr="00BE636E">
        <w:t>the SN</w:t>
      </w:r>
      <w:r w:rsidR="00B56B30">
        <w:t xml:space="preserve"> </w:t>
      </w:r>
      <w:r w:rsidR="00B56B30" w:rsidRPr="00BE636E">
        <w:t>initiated C</w:t>
      </w:r>
      <w:r w:rsidR="00B56B30">
        <w:t>PC</w:t>
      </w:r>
      <w:r w:rsidR="00B56B30" w:rsidRPr="00BE636E">
        <w:t xml:space="preserve"> configurations</w:t>
      </w:r>
      <w:r w:rsidR="00B56B30">
        <w:t>) to the target SN</w:t>
      </w:r>
      <w:r w:rsidR="00BD3C10">
        <w:t>.</w:t>
      </w:r>
      <w:bookmarkEnd w:id="15"/>
      <w:r w:rsidR="00BD3C10">
        <w:br/>
      </w:r>
    </w:p>
    <w:p w14:paraId="31DA557B" w14:textId="77777777" w:rsidR="00A655FC" w:rsidRDefault="00A655FC" w:rsidP="00B93BF6">
      <w:pPr>
        <w:rPr>
          <w:highlight w:val="yellow"/>
        </w:rPr>
      </w:pPr>
    </w:p>
    <w:p w14:paraId="15530F2C" w14:textId="3F77897B" w:rsidR="00AD1117" w:rsidRDefault="00F52594" w:rsidP="00AD1117">
      <w:pPr>
        <w:pStyle w:val="Heading2"/>
      </w:pPr>
      <w:r>
        <w:t>2.</w:t>
      </w:r>
      <w:r w:rsidR="00AD1117">
        <w:t>4</w:t>
      </w:r>
      <w:r>
        <w:tab/>
      </w:r>
      <w:r w:rsidR="00AD1117">
        <w:t>Handling of SN security</w:t>
      </w:r>
    </w:p>
    <w:p w14:paraId="2E79C175" w14:textId="2F00E007" w:rsidR="00AD1117" w:rsidRDefault="00C72460" w:rsidP="00AD1117">
      <w:pPr>
        <w:rPr>
          <w:highlight w:val="yellow"/>
        </w:rPr>
      </w:pPr>
      <w:r w:rsidRPr="00C72460">
        <w:t xml:space="preserve">At the RAN2#119-e meeting there were some </w:t>
      </w:r>
      <w:proofErr w:type="gramStart"/>
      <w:r w:rsidRPr="00C72460">
        <w:t>discussion</w:t>
      </w:r>
      <w:proofErr w:type="gramEnd"/>
      <w:r w:rsidRPr="00C72460">
        <w:t xml:space="preserve"> related to whether there might be some security issues due to that CPC configurations are stored by the UE and executed later on, with the following FFSs:</w:t>
      </w:r>
    </w:p>
    <w:p w14:paraId="0FFF815F" w14:textId="77777777" w:rsidR="00AD1117" w:rsidRDefault="00AD1117" w:rsidP="00AD1117">
      <w:pPr>
        <w:pStyle w:val="Agreement"/>
        <w:tabs>
          <w:tab w:val="clear" w:pos="1619"/>
          <w:tab w:val="num" w:pos="927"/>
        </w:tabs>
        <w:ind w:left="927"/>
      </w:pPr>
      <w:r>
        <w:t xml:space="preserve">FFS whether there is a security issue: </w:t>
      </w:r>
      <w:proofErr w:type="gramStart"/>
      <w:r>
        <w:t>e.g.</w:t>
      </w:r>
      <w:proofErr w:type="gramEnd"/>
      <w:r>
        <w:t xml:space="preserve">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p>
    <w:p w14:paraId="5812C126" w14:textId="6084F874" w:rsidR="00AD1117" w:rsidRDefault="00AD1117" w:rsidP="00AD1117">
      <w:pPr>
        <w:rPr>
          <w:highlight w:val="yellow"/>
        </w:rPr>
      </w:pPr>
    </w:p>
    <w:p w14:paraId="683C67C2" w14:textId="092D7D3B" w:rsidR="0008356A" w:rsidRPr="00C72460" w:rsidRDefault="00C35503" w:rsidP="00AD1117">
      <w:r w:rsidRPr="00C72460">
        <w:t xml:space="preserve">The </w:t>
      </w:r>
      <w:proofErr w:type="spellStart"/>
      <w:r w:rsidRPr="00C72460">
        <w:t>Sk</w:t>
      </w:r>
      <w:proofErr w:type="spellEnd"/>
      <w:r w:rsidRPr="00C72460">
        <w:t>-Counter is sent by the MN to the SN and the SN uses</w:t>
      </w:r>
      <w:r w:rsidR="00AE33EF" w:rsidRPr="00C72460">
        <w:t xml:space="preserve"> it to derive base keys. </w:t>
      </w:r>
      <w:r w:rsidR="009B33F1" w:rsidRPr="00C72460">
        <w:t xml:space="preserve">These keys can </w:t>
      </w:r>
      <w:r w:rsidR="00B728E9" w:rsidRPr="00C72460">
        <w:t xml:space="preserve">be used for </w:t>
      </w:r>
      <w:proofErr w:type="gramStart"/>
      <w:r w:rsidR="00B728E9" w:rsidRPr="00C72460">
        <w:t>a number of</w:t>
      </w:r>
      <w:proofErr w:type="gramEnd"/>
      <w:r w:rsidR="00B728E9" w:rsidRPr="00C72460">
        <w:t xml:space="preserve"> reconfigurations. </w:t>
      </w:r>
      <w:r w:rsidR="00AE33EF" w:rsidRPr="00C72460">
        <w:t xml:space="preserve">When the SN is changed the MN sends a new </w:t>
      </w:r>
      <w:proofErr w:type="spellStart"/>
      <w:r w:rsidR="00AE33EF" w:rsidRPr="00C72460">
        <w:t>Sk</w:t>
      </w:r>
      <w:proofErr w:type="spellEnd"/>
      <w:r w:rsidR="00AE33EF" w:rsidRPr="00C72460">
        <w:t>-Counter to the U</w:t>
      </w:r>
      <w:r w:rsidR="00E354D5" w:rsidRPr="00C72460">
        <w:t xml:space="preserve">E. </w:t>
      </w:r>
      <w:r w:rsidR="00E866FE" w:rsidRPr="00C72460">
        <w:t xml:space="preserve">The MN is aware of when it needs to send a new </w:t>
      </w:r>
      <w:proofErr w:type="spellStart"/>
      <w:r w:rsidR="00E866FE" w:rsidRPr="00C72460">
        <w:t>Sk</w:t>
      </w:r>
      <w:proofErr w:type="spellEnd"/>
      <w:r w:rsidR="00E866FE" w:rsidRPr="00C72460">
        <w:t>-Counter and th</w:t>
      </w:r>
      <w:r w:rsidR="005C4978" w:rsidRPr="00C72460">
        <w:t xml:space="preserve">ere is </w:t>
      </w:r>
      <w:r w:rsidR="003660AA" w:rsidRPr="00C72460">
        <w:t>in</w:t>
      </w:r>
      <w:r w:rsidR="005C4978" w:rsidRPr="00C72460">
        <w:t xml:space="preserve"> principle </w:t>
      </w:r>
      <w:r w:rsidR="003660AA" w:rsidRPr="00C72460">
        <w:t xml:space="preserve">no </w:t>
      </w:r>
      <w:r w:rsidR="005C4978" w:rsidRPr="00C72460">
        <w:t xml:space="preserve">difference between the legacy case or the case when the reconfigurations are done in advance as </w:t>
      </w:r>
      <w:r w:rsidR="003660AA" w:rsidRPr="00C72460">
        <w:t xml:space="preserve">is the case </w:t>
      </w:r>
      <w:r w:rsidR="005C4978" w:rsidRPr="00C72460">
        <w:t xml:space="preserve">for conditional reconfigurations. </w:t>
      </w:r>
      <w:r w:rsidR="005F1B3F" w:rsidRPr="00C72460">
        <w:t xml:space="preserve">There does </w:t>
      </w:r>
      <w:r w:rsidR="00B23F53">
        <w:t xml:space="preserve">thus </w:t>
      </w:r>
      <w:r w:rsidR="005F1B3F" w:rsidRPr="00C72460">
        <w:t xml:space="preserve">not seem to be any security issue related to subsequent </w:t>
      </w:r>
      <w:r w:rsidR="001339FD" w:rsidRPr="00C72460">
        <w:t>conditional reconfigurations.</w:t>
      </w:r>
    </w:p>
    <w:p w14:paraId="5CAB0AF6" w14:textId="2494E49C" w:rsidR="001339FD" w:rsidRPr="00A1338B" w:rsidRDefault="001339FD" w:rsidP="00F913D7">
      <w:pPr>
        <w:pStyle w:val="Observation"/>
      </w:pPr>
      <w:bookmarkStart w:id="16" w:name="_Toc115426210"/>
      <w:r w:rsidRPr="00A1338B">
        <w:t>There does not seem to be any security issue related to subsequent conditional reconfigurations.</w:t>
      </w:r>
      <w:bookmarkEnd w:id="16"/>
    </w:p>
    <w:p w14:paraId="7F14FF14" w14:textId="338C574F" w:rsidR="0008356A" w:rsidRDefault="0008356A" w:rsidP="00AD1117">
      <w:pPr>
        <w:rPr>
          <w:highlight w:val="yellow"/>
        </w:rPr>
      </w:pPr>
    </w:p>
    <w:p w14:paraId="2B3E0C5B" w14:textId="67E21C35" w:rsidR="003D1417" w:rsidRDefault="003D1417" w:rsidP="003D1417">
      <w:pPr>
        <w:pStyle w:val="Heading2"/>
      </w:pPr>
      <w:r>
        <w:t>2.5</w:t>
      </w:r>
      <w:r>
        <w:tab/>
        <w:t>CPC configuration within CPA/CPC</w:t>
      </w:r>
    </w:p>
    <w:p w14:paraId="066CD4B5" w14:textId="77777777" w:rsidR="003D1417" w:rsidRPr="00DA2C77" w:rsidRDefault="003D1417" w:rsidP="003D1417">
      <w:r w:rsidRPr="00DA2C77">
        <w:t xml:space="preserve">The objective 4 in the WID </w:t>
      </w:r>
      <w:r w:rsidRPr="00DA2C77">
        <w:fldChar w:fldCharType="begin"/>
      </w:r>
      <w:r w:rsidRPr="00DA2C77">
        <w:instrText xml:space="preserve"> REF _Ref107489175 \r \h  \* MERGEFORMAT </w:instrText>
      </w:r>
      <w:r w:rsidRPr="00DA2C77">
        <w:fldChar w:fldCharType="separate"/>
      </w:r>
      <w:r w:rsidRPr="00DA2C77">
        <w:t>[1]</w:t>
      </w:r>
      <w:r w:rsidRPr="00DA2C77">
        <w:fldChar w:fldCharType="end"/>
      </w:r>
      <w:r w:rsidRPr="00DA2C77">
        <w:t xml:space="preserve"> is to </w:t>
      </w:r>
      <w:r w:rsidRPr="00DA2C77">
        <w:rPr>
          <w:bCs/>
          <w:lang w:val="en-US"/>
        </w:rPr>
        <w:t xml:space="preserve">specify CHO including target MCG and candidate SCGs for CPC/CPA in NR-DC. It can thus be assumed </w:t>
      </w:r>
      <w:r w:rsidRPr="00DA2C77">
        <w:t>that there then will be support for a CHO configuration that includes CPA/CPC.</w:t>
      </w:r>
    </w:p>
    <w:p w14:paraId="1828C879" w14:textId="77777777" w:rsidR="003D1417" w:rsidRPr="00DA2C77" w:rsidRDefault="003D1417" w:rsidP="003D1417">
      <w:r w:rsidRPr="00DA2C77">
        <w:t xml:space="preserve">Today it is not allowed to include the field </w:t>
      </w:r>
      <w:proofErr w:type="spellStart"/>
      <w:r w:rsidRPr="00DA2C77">
        <w:rPr>
          <w:i/>
          <w:iCs/>
        </w:rPr>
        <w:t>conditionalReconfiguration</w:t>
      </w:r>
      <w:proofErr w:type="spellEnd"/>
      <w:r w:rsidRPr="00DA2C77">
        <w:t xml:space="preserve"> in the </w:t>
      </w:r>
      <w:proofErr w:type="spellStart"/>
      <w:r w:rsidRPr="00DA2C77">
        <w:rPr>
          <w:i/>
          <w:iCs/>
        </w:rPr>
        <w:t>condRRCReconfig</w:t>
      </w:r>
      <w:proofErr w:type="spellEnd"/>
      <w:r w:rsidRPr="00DA2C77">
        <w:t xml:space="preserve">, </w:t>
      </w:r>
      <w:proofErr w:type="gramStart"/>
      <w:r w:rsidRPr="00DA2C77">
        <w:t>i.e.</w:t>
      </w:r>
      <w:proofErr w:type="gramEnd"/>
      <w:r w:rsidRPr="00DA2C77">
        <w:t xml:space="preserve"> a new conditional reconfiguration within the conditional reconfiguration.</w:t>
      </w:r>
      <w:r>
        <w:t xml:space="preserve"> This can be seen in the field description for </w:t>
      </w:r>
      <w:proofErr w:type="spellStart"/>
      <w:r w:rsidRPr="00DA2C77">
        <w:rPr>
          <w:i/>
          <w:iCs/>
        </w:rPr>
        <w:t>condRRCReconfig</w:t>
      </w:r>
      <w:proofErr w:type="spellEnd"/>
      <w:r>
        <w:t xml:space="preserve"> in 38.331:</w:t>
      </w:r>
    </w:p>
    <w:p w14:paraId="6F9F7D94" w14:textId="77777777" w:rsidR="003D1417" w:rsidRPr="00423A33" w:rsidRDefault="003D1417" w:rsidP="003D1417">
      <w:pPr>
        <w:keepNext/>
        <w:keepLines/>
        <w:spacing w:after="0"/>
        <w:ind w:left="567"/>
        <w:rPr>
          <w:rFonts w:ascii="Arial" w:hAnsi="Arial"/>
          <w:sz w:val="18"/>
          <w:lang w:eastAsia="sv-SE"/>
        </w:rPr>
      </w:pPr>
      <w:r w:rsidRPr="00423A33">
        <w:rPr>
          <w:rFonts w:ascii="Arial" w:hAnsi="Arial"/>
          <w:b/>
          <w:bCs/>
          <w:i/>
          <w:noProof/>
          <w:sz w:val="18"/>
          <w:lang w:eastAsia="en-GB"/>
        </w:rPr>
        <w:t>condRRCReconfig</w:t>
      </w:r>
    </w:p>
    <w:p w14:paraId="54A19CBD" w14:textId="77777777" w:rsidR="003D1417" w:rsidRPr="00423A33" w:rsidRDefault="003D1417" w:rsidP="003D1417">
      <w:pPr>
        <w:ind w:left="567"/>
        <w:rPr>
          <w:highlight w:val="yellow"/>
        </w:rPr>
      </w:pPr>
      <w:r w:rsidRPr="00423A33">
        <w:rPr>
          <w:lang w:eastAsia="sv-SE"/>
        </w:rPr>
        <w:t xml:space="preserve">The </w:t>
      </w:r>
      <w:proofErr w:type="spellStart"/>
      <w:r w:rsidRPr="00423A33">
        <w:rPr>
          <w:i/>
          <w:lang w:eastAsia="sv-SE"/>
        </w:rPr>
        <w:t>RRCReconfiguration</w:t>
      </w:r>
      <w:proofErr w:type="spellEnd"/>
      <w:r w:rsidRPr="00423A33">
        <w:rPr>
          <w:lang w:eastAsia="sv-SE"/>
        </w:rPr>
        <w:t xml:space="preserve"> message to be applied when the condition(s) are fulfilled. </w:t>
      </w:r>
      <w:r w:rsidRPr="00423A33">
        <w:rPr>
          <w:highlight w:val="yellow"/>
        </w:rPr>
        <w:t xml:space="preserve">The </w:t>
      </w:r>
      <w:proofErr w:type="spellStart"/>
      <w:r w:rsidRPr="00423A33">
        <w:rPr>
          <w:i/>
          <w:highlight w:val="yellow"/>
        </w:rPr>
        <w:t>RRCReconfiguration</w:t>
      </w:r>
      <w:proofErr w:type="spellEnd"/>
      <w:r w:rsidRPr="00423A33">
        <w:rPr>
          <w:highlight w:val="yellow"/>
        </w:rPr>
        <w:t xml:space="preserve"> message contained in </w:t>
      </w:r>
      <w:proofErr w:type="spellStart"/>
      <w:r w:rsidRPr="00423A33">
        <w:rPr>
          <w:i/>
          <w:iCs/>
          <w:highlight w:val="yellow"/>
        </w:rPr>
        <w:t>condRRCReconfig</w:t>
      </w:r>
      <w:proofErr w:type="spellEnd"/>
      <w:r w:rsidRPr="00423A33">
        <w:rPr>
          <w:highlight w:val="yellow"/>
        </w:rPr>
        <w:t xml:space="preserve"> cannot contain the field </w:t>
      </w:r>
      <w:proofErr w:type="spellStart"/>
      <w:r w:rsidRPr="00423A33">
        <w:rPr>
          <w:i/>
          <w:iCs/>
          <w:highlight w:val="yellow"/>
        </w:rPr>
        <w:t>conditionalReconfiguration</w:t>
      </w:r>
      <w:proofErr w:type="spellEnd"/>
      <w:r w:rsidRPr="00423A33">
        <w:rPr>
          <w:szCs w:val="18"/>
        </w:rPr>
        <w:t xml:space="preserve"> or the field</w:t>
      </w:r>
      <w:r w:rsidRPr="00423A33">
        <w:rPr>
          <w:i/>
          <w:iCs/>
          <w:szCs w:val="18"/>
        </w:rPr>
        <w:t xml:space="preserve"> daps-Config</w:t>
      </w:r>
      <w:r w:rsidRPr="00423A33">
        <w:t>.</w:t>
      </w:r>
      <w:r w:rsidRPr="00423A33">
        <w:rPr>
          <w:iCs/>
        </w:rPr>
        <w:t xml:space="preserve"> For CPA and for CPC, the </w:t>
      </w:r>
      <w:proofErr w:type="spellStart"/>
      <w:r w:rsidRPr="00423A33">
        <w:rPr>
          <w:i/>
          <w:iCs/>
        </w:rPr>
        <w:t>RRCReconfiguration</w:t>
      </w:r>
      <w:proofErr w:type="spellEnd"/>
      <w:r w:rsidRPr="00423A33">
        <w:rPr>
          <w:iCs/>
        </w:rPr>
        <w:t xml:space="preserve"> message contained in </w:t>
      </w:r>
      <w:proofErr w:type="spellStart"/>
      <w:r w:rsidRPr="00423A33">
        <w:rPr>
          <w:i/>
          <w:iCs/>
        </w:rPr>
        <w:t>condRRCReconfig</w:t>
      </w:r>
      <w:proofErr w:type="spellEnd"/>
      <w:r w:rsidRPr="00423A33">
        <w:rPr>
          <w:iCs/>
        </w:rPr>
        <w:t xml:space="preserve"> cannot contain the field </w:t>
      </w:r>
      <w:proofErr w:type="spellStart"/>
      <w:r w:rsidRPr="00423A33">
        <w:rPr>
          <w:i/>
          <w:iCs/>
        </w:rPr>
        <w:t>scg</w:t>
      </w:r>
      <w:proofErr w:type="spellEnd"/>
      <w:r w:rsidRPr="00423A33">
        <w:rPr>
          <w:i/>
          <w:iCs/>
        </w:rPr>
        <w:t>-State</w:t>
      </w:r>
      <w:r w:rsidRPr="00423A33">
        <w:rPr>
          <w:iCs/>
        </w:rPr>
        <w:t>.</w:t>
      </w:r>
    </w:p>
    <w:p w14:paraId="5706CFCE" w14:textId="77777777" w:rsidR="003D1417" w:rsidRDefault="003D1417" w:rsidP="003D1417">
      <w:r>
        <w:t>It is also described in 37.340 (clause 10.6) that CPC configurations cannot be included in conditional reconfigurations:</w:t>
      </w:r>
    </w:p>
    <w:p w14:paraId="3B5F072D" w14:textId="77777777" w:rsidR="003D1417" w:rsidRPr="00F018E8" w:rsidRDefault="003D1417" w:rsidP="003D1417">
      <w:pPr>
        <w:ind w:left="567"/>
      </w:pPr>
      <w:r w:rsidRPr="00F018E8">
        <w:rPr>
          <w:highlight w:val="yellow"/>
        </w:rPr>
        <w:t>CPC configuration</w:t>
      </w:r>
      <w:r w:rsidRPr="00F018E8">
        <w:t xml:space="preserve"> in HO command, </w:t>
      </w:r>
      <w:r w:rsidRPr="00F018E8">
        <w:rPr>
          <w:rFonts w:eastAsia="SimSun"/>
          <w:lang w:eastAsia="zh-CN"/>
        </w:rPr>
        <w:t xml:space="preserve">in </w:t>
      </w:r>
      <w:proofErr w:type="spellStart"/>
      <w:r w:rsidRPr="00F018E8">
        <w:t>PSCell</w:t>
      </w:r>
      <w:proofErr w:type="spellEnd"/>
      <w:r w:rsidRPr="00F018E8">
        <w:t xml:space="preserve"> </w:t>
      </w:r>
      <w:r w:rsidRPr="00F018E8">
        <w:rPr>
          <w:rFonts w:eastAsia="SimSun"/>
          <w:lang w:eastAsia="zh-CN"/>
        </w:rPr>
        <w:t>addition/</w:t>
      </w:r>
      <w:r w:rsidRPr="00F018E8">
        <w:t xml:space="preserve">change command or </w:t>
      </w:r>
      <w:r w:rsidRPr="00F018E8">
        <w:rPr>
          <w:rFonts w:eastAsia="SimSun"/>
          <w:highlight w:val="yellow"/>
          <w:lang w:eastAsia="zh-CN"/>
        </w:rPr>
        <w:t>in conditional</w:t>
      </w:r>
      <w:r w:rsidRPr="00F018E8">
        <w:rPr>
          <w:highlight w:val="yellow"/>
        </w:rPr>
        <w:t xml:space="preserve"> configuration </w:t>
      </w:r>
      <w:r w:rsidRPr="00F018E8">
        <w:rPr>
          <w:rFonts w:eastAsia="SimSun"/>
          <w:highlight w:val="yellow"/>
          <w:lang w:eastAsia="zh-CN"/>
        </w:rPr>
        <w:t>(</w:t>
      </w:r>
      <w:proofErr w:type="spellStart"/>
      <w:r w:rsidRPr="00F018E8">
        <w:rPr>
          <w:rFonts w:eastAsia="SimSun"/>
          <w:highlight w:val="yellow"/>
          <w:lang w:eastAsia="zh-CN"/>
        </w:rPr>
        <w:t>i.e</w:t>
      </w:r>
      <w:proofErr w:type="spellEnd"/>
      <w:r w:rsidRPr="00F018E8">
        <w:rPr>
          <w:rFonts w:eastAsia="SimSun"/>
          <w:highlight w:val="yellow"/>
          <w:lang w:eastAsia="zh-CN"/>
        </w:rPr>
        <w:t xml:space="preserve"> CPA, CPC or CHO configuration) </w:t>
      </w:r>
      <w:r w:rsidRPr="00F018E8">
        <w:rPr>
          <w:highlight w:val="yellow"/>
        </w:rPr>
        <w:t>is not supported</w:t>
      </w:r>
      <w:r w:rsidRPr="00F018E8">
        <w:t>.</w:t>
      </w:r>
    </w:p>
    <w:p w14:paraId="47A30E0F" w14:textId="77777777" w:rsidR="003D1417" w:rsidRPr="00A16103" w:rsidRDefault="003D1417" w:rsidP="003D1417">
      <w:r w:rsidRPr="00A16103">
        <w:t>By adding support for CPC/CPA configurations within a CHO configuration, the above restriction</w:t>
      </w:r>
      <w:r>
        <w:t>s</w:t>
      </w:r>
      <w:r w:rsidRPr="00A16103">
        <w:t xml:space="preserve"> </w:t>
      </w:r>
      <w:r>
        <w:t xml:space="preserve">regarding inclusion of a CPC configuration within a conditional reconfiguration </w:t>
      </w:r>
      <w:r w:rsidRPr="00A16103">
        <w:t>would be removed. The corresponding support for CPC configuration within a CPC or a CPA configuration would then also be possible unless new, more specific, restrictions are to be introduced</w:t>
      </w:r>
      <w:r>
        <w:t xml:space="preserve"> in the specification</w:t>
      </w:r>
      <w:r w:rsidRPr="00A16103">
        <w:t xml:space="preserve">. We therefore think that </w:t>
      </w:r>
      <w:r>
        <w:t xml:space="preserve">if </w:t>
      </w:r>
      <w:r w:rsidRPr="00A16103">
        <w:t>support for CPC/CPA within CHO is introduced</w:t>
      </w:r>
      <w:r>
        <w:t>,</w:t>
      </w:r>
      <w:r w:rsidRPr="00A16103">
        <w:t xml:space="preserve"> RAN2 should consider to </w:t>
      </w:r>
      <w:r>
        <w:t xml:space="preserve">also </w:t>
      </w:r>
      <w:r w:rsidRPr="00A16103">
        <w:t>support that CPC can be configured within a CPC/CPA configuration.</w:t>
      </w:r>
    </w:p>
    <w:p w14:paraId="555F1E94" w14:textId="77777777" w:rsidR="003D1417" w:rsidRPr="00CE0424" w:rsidRDefault="003D1417" w:rsidP="003D1417">
      <w:pPr>
        <w:pStyle w:val="Observation"/>
      </w:pPr>
      <w:bookmarkStart w:id="17" w:name="_Toc115426211"/>
      <w:r>
        <w:lastRenderedPageBreak/>
        <w:t>In case support for CPC or CPA within a CHO configuration is specified, the possibility to also support a CPC configuration within a CPC or CPA configuration may be supported without additional specification work.</w:t>
      </w:r>
      <w:bookmarkEnd w:id="17"/>
    </w:p>
    <w:p w14:paraId="3D24F865" w14:textId="77777777" w:rsidR="003D1417" w:rsidRDefault="003D1417" w:rsidP="003D1417">
      <w:pPr>
        <w:pStyle w:val="Proposal"/>
      </w:pPr>
      <w:bookmarkStart w:id="18" w:name="_Toc115426224"/>
      <w:r>
        <w:t>RAN2 to consider support for inclusion of CPC configuration within a CPC or CPA configuration, in case CPC/CPA configuration is supported within CHO configuration.</w:t>
      </w:r>
      <w:bookmarkEnd w:id="18"/>
    </w:p>
    <w:p w14:paraId="73E19FBF" w14:textId="457B7AB0" w:rsidR="0042595C" w:rsidRDefault="0042595C" w:rsidP="003D1417">
      <w:r>
        <w:t xml:space="preserve">Today it is not supported to include a CPC configuration in the </w:t>
      </w:r>
      <w:proofErr w:type="spellStart"/>
      <w:r>
        <w:t>PSCell</w:t>
      </w:r>
      <w:proofErr w:type="spellEnd"/>
      <w:r>
        <w:t xml:space="preserve"> addition configuration, as can be seen in 37.340, 10.6:</w:t>
      </w:r>
    </w:p>
    <w:p w14:paraId="061EF767" w14:textId="77777777" w:rsidR="0042595C" w:rsidRPr="0042595C" w:rsidRDefault="0042595C" w:rsidP="0042595C">
      <w:pPr>
        <w:ind w:left="567"/>
        <w:rPr>
          <w:i/>
          <w:iCs/>
        </w:rPr>
      </w:pPr>
      <w:r w:rsidRPr="0042595C">
        <w:rPr>
          <w:i/>
          <w:iCs/>
        </w:rPr>
        <w:t xml:space="preserve">CPC configuration in HO command, </w:t>
      </w:r>
      <w:r w:rsidRPr="0042595C">
        <w:rPr>
          <w:rFonts w:eastAsia="SimSun"/>
          <w:i/>
          <w:iCs/>
          <w:lang w:eastAsia="zh-CN"/>
        </w:rPr>
        <w:t xml:space="preserve">in </w:t>
      </w:r>
      <w:proofErr w:type="spellStart"/>
      <w:r w:rsidRPr="0042595C">
        <w:rPr>
          <w:i/>
          <w:iCs/>
        </w:rPr>
        <w:t>PSCell</w:t>
      </w:r>
      <w:proofErr w:type="spellEnd"/>
      <w:r w:rsidRPr="0042595C">
        <w:rPr>
          <w:i/>
          <w:iCs/>
        </w:rPr>
        <w:t xml:space="preserve"> </w:t>
      </w:r>
      <w:r w:rsidRPr="0042595C">
        <w:rPr>
          <w:rFonts w:eastAsia="SimSun"/>
          <w:i/>
          <w:iCs/>
          <w:lang w:eastAsia="zh-CN"/>
        </w:rPr>
        <w:t>addition/</w:t>
      </w:r>
      <w:r w:rsidRPr="0042595C">
        <w:rPr>
          <w:i/>
          <w:iCs/>
        </w:rPr>
        <w:t xml:space="preserve">change command or </w:t>
      </w:r>
      <w:r w:rsidRPr="0042595C">
        <w:rPr>
          <w:rFonts w:eastAsia="SimSun"/>
          <w:i/>
          <w:iCs/>
          <w:lang w:eastAsia="zh-CN"/>
        </w:rPr>
        <w:t>in conditional</w:t>
      </w:r>
      <w:r w:rsidRPr="0042595C">
        <w:rPr>
          <w:i/>
          <w:iCs/>
        </w:rPr>
        <w:t xml:space="preserve"> configuration </w:t>
      </w:r>
      <w:r w:rsidRPr="0042595C">
        <w:rPr>
          <w:rFonts w:eastAsia="SimSun"/>
          <w:i/>
          <w:iCs/>
          <w:lang w:eastAsia="zh-CN"/>
        </w:rPr>
        <w:t>(</w:t>
      </w:r>
      <w:proofErr w:type="spellStart"/>
      <w:r w:rsidRPr="0042595C">
        <w:rPr>
          <w:rFonts w:eastAsia="SimSun"/>
          <w:i/>
          <w:iCs/>
          <w:lang w:eastAsia="zh-CN"/>
        </w:rPr>
        <w:t>i.e</w:t>
      </w:r>
      <w:proofErr w:type="spellEnd"/>
      <w:r w:rsidRPr="0042595C">
        <w:rPr>
          <w:rFonts w:eastAsia="SimSun"/>
          <w:i/>
          <w:iCs/>
          <w:lang w:eastAsia="zh-CN"/>
        </w:rPr>
        <w:t xml:space="preserve"> CPA, CPC or CHO configuration) </w:t>
      </w:r>
      <w:r w:rsidRPr="0042595C">
        <w:rPr>
          <w:i/>
          <w:iCs/>
        </w:rPr>
        <w:t>is not supported.</w:t>
      </w:r>
    </w:p>
    <w:p w14:paraId="2D1E7FF0" w14:textId="33F56ED3" w:rsidR="0042595C" w:rsidRDefault="0042595C" w:rsidP="003D1417">
      <w:r>
        <w:t xml:space="preserve">Considering the need to support cases with frequent SCG changes in FR2, this restriction will however mean that the UE may not yet have any CPC configurations in time for the first </w:t>
      </w:r>
      <w:proofErr w:type="spellStart"/>
      <w:r>
        <w:t>PSCell</w:t>
      </w:r>
      <w:proofErr w:type="spellEnd"/>
      <w:r>
        <w:t xml:space="preserve"> mobility procedure after the </w:t>
      </w:r>
      <w:proofErr w:type="spellStart"/>
      <w:r>
        <w:t>PSCell</w:t>
      </w:r>
      <w:proofErr w:type="spellEnd"/>
      <w:r>
        <w:t xml:space="preserve"> addition.</w:t>
      </w:r>
    </w:p>
    <w:p w14:paraId="30698776" w14:textId="6BCFF77A" w:rsidR="0042595C" w:rsidRDefault="0042595C" w:rsidP="0042595C">
      <w:pPr>
        <w:pStyle w:val="Proposal"/>
      </w:pPr>
      <w:bookmarkStart w:id="19" w:name="_Toc115426225"/>
      <w:r>
        <w:t xml:space="preserve">CPC configurations should be supported within normal </w:t>
      </w:r>
      <w:proofErr w:type="spellStart"/>
      <w:r>
        <w:t>PSCell</w:t>
      </w:r>
      <w:proofErr w:type="spellEnd"/>
      <w:r>
        <w:t xml:space="preserve"> addition commands.</w:t>
      </w:r>
      <w:bookmarkEnd w:id="19"/>
    </w:p>
    <w:p w14:paraId="69A96AD2" w14:textId="77777777" w:rsidR="0042595C" w:rsidRDefault="0042595C" w:rsidP="003D1417"/>
    <w:p w14:paraId="1AC5A7DD" w14:textId="2A490450" w:rsidR="00AC585B" w:rsidRDefault="00AC585B" w:rsidP="00AC585B">
      <w:pPr>
        <w:pStyle w:val="Heading2"/>
        <w:rPr>
          <w:rFonts w:eastAsia="PMingLiU"/>
          <w:lang w:val="en-US" w:eastAsia="en-GB"/>
        </w:rPr>
      </w:pPr>
      <w:r w:rsidRPr="00B35D01">
        <w:t>2.</w:t>
      </w:r>
      <w:r w:rsidR="00D36DCF">
        <w:t>6</w:t>
      </w:r>
      <w:r w:rsidRPr="00B35D01">
        <w:tab/>
        <w:t>CHO</w:t>
      </w:r>
      <w:r w:rsidR="00B35D01" w:rsidRPr="00B35D01">
        <w:t xml:space="preserve"> </w:t>
      </w:r>
      <w:r w:rsidR="00B35D01" w:rsidRPr="00B35D01">
        <w:rPr>
          <w:rFonts w:eastAsia="PMingLiU"/>
          <w:bCs/>
          <w:lang w:val="en-US" w:eastAsia="en-GB"/>
        </w:rPr>
        <w:t>including candidate SCGs for CPC/CPA</w:t>
      </w:r>
    </w:p>
    <w:p w14:paraId="72145779" w14:textId="77777777" w:rsidR="000A20EE" w:rsidRPr="007F667B" w:rsidRDefault="000A20EE" w:rsidP="000A20EE">
      <w:pPr>
        <w:pStyle w:val="BodyText"/>
        <w:rPr>
          <w:rStyle w:val="Emphasis"/>
          <w:i w:val="0"/>
          <w:iCs w:val="0"/>
        </w:rPr>
      </w:pPr>
      <w:r>
        <w:t xml:space="preserve">The WID in </w:t>
      </w:r>
      <w:r>
        <w:fldChar w:fldCharType="begin"/>
      </w:r>
      <w:r>
        <w:instrText xml:space="preserve"> REF _Ref107489175 \r \h </w:instrText>
      </w:r>
      <w:r>
        <w:fldChar w:fldCharType="separate"/>
      </w:r>
      <w:r>
        <w:t>[1]</w:t>
      </w:r>
      <w:r>
        <w:fldChar w:fldCharType="end"/>
      </w:r>
      <w:r>
        <w:t xml:space="preserve"> also includes an objective related to specifying CHO configuration including both target candidate MCG and target candidate SCG for CPAC (objective 4):</w:t>
      </w:r>
    </w:p>
    <w:p w14:paraId="128ACC44" w14:textId="77777777" w:rsidR="000A20EE" w:rsidRDefault="000A20EE" w:rsidP="000A20EE">
      <w:pPr>
        <w:numPr>
          <w:ilvl w:val="0"/>
          <w:numId w:val="36"/>
        </w:numPr>
        <w:spacing w:after="0"/>
        <w:jc w:val="both"/>
        <w:rPr>
          <w:bCs/>
          <w:lang w:val="en-US"/>
        </w:rPr>
      </w:pPr>
      <w:r w:rsidRPr="00F64376">
        <w:rPr>
          <w:rFonts w:eastAsia="PMingLiU"/>
          <w:bCs/>
          <w:lang w:val="en-US" w:eastAsia="en-GB"/>
        </w:rPr>
        <w:t>To specify CHO including target MCG and candidate SCGs for CPC/CPA in NR-DC [RAN3, RAN2]</w:t>
      </w:r>
    </w:p>
    <w:p w14:paraId="71CAF769" w14:textId="77777777" w:rsidR="000A20EE" w:rsidRPr="00F64376" w:rsidRDefault="000A20EE" w:rsidP="000A20EE">
      <w:pPr>
        <w:numPr>
          <w:ilvl w:val="1"/>
          <w:numId w:val="36"/>
        </w:numPr>
        <w:spacing w:after="0"/>
        <w:jc w:val="both"/>
        <w:rPr>
          <w:rFonts w:eastAsia="PMingLiU"/>
          <w:bCs/>
          <w:lang w:val="en-US" w:eastAsia="en-GB"/>
        </w:rPr>
      </w:pPr>
      <w:r w:rsidRPr="00F64376">
        <w:rPr>
          <w:rFonts w:eastAsia="PMingLiU"/>
          <w:bCs/>
          <w:lang w:val="en-US" w:eastAsia="en-GB"/>
        </w:rPr>
        <w:t>CHO including target MCG and target SCG is used as the baseline</w:t>
      </w:r>
    </w:p>
    <w:p w14:paraId="07A5F1F9" w14:textId="77777777" w:rsidR="000A20EE" w:rsidRDefault="000A20EE" w:rsidP="000A20EE">
      <w:pPr>
        <w:pStyle w:val="BodyText"/>
      </w:pPr>
    </w:p>
    <w:p w14:paraId="0440A3D2" w14:textId="77777777" w:rsidR="000A20EE" w:rsidRDefault="000A20EE" w:rsidP="000A20EE">
      <w:pPr>
        <w:pStyle w:val="BodyText"/>
      </w:pPr>
      <w:r>
        <w:t>There were some discussions for objective 4 at the RAN#119-e meeting with the following outcome:</w:t>
      </w:r>
    </w:p>
    <w:p w14:paraId="3ED951E8" w14:textId="77777777" w:rsidR="000A20EE" w:rsidRDefault="000A20EE" w:rsidP="000A20EE">
      <w:pPr>
        <w:pStyle w:val="Agreement"/>
      </w:pPr>
      <w:r>
        <w:t>Observation: Current RAN2 Stage-3 specifications can support CHO including target MCG and target SCG in Rel-17.</w:t>
      </w:r>
    </w:p>
    <w:p w14:paraId="322807F9" w14:textId="77777777" w:rsidR="000A20EE" w:rsidRDefault="000A20EE" w:rsidP="000A20EE">
      <w:pPr>
        <w:pStyle w:val="Agreement"/>
      </w:pPr>
      <w:r>
        <w:t>CHO configuration referring to or including CPC/CPA configuration (intended to be applicable together) can be supported.</w:t>
      </w:r>
    </w:p>
    <w:p w14:paraId="44C6BB5E" w14:textId="77777777" w:rsidR="000A20EE" w:rsidRDefault="000A20EE" w:rsidP="000A20EE">
      <w:pPr>
        <w:pStyle w:val="Agreement"/>
      </w:pPr>
      <w:r>
        <w:t>FFS: When triggering CHO, UE perform CPC/CPA configuration to start CPC/CPA evaluation, FFS if CHO evaluation and CPC/CPA evaluation is concurrent or sequential.</w:t>
      </w:r>
    </w:p>
    <w:p w14:paraId="2CDB3F33" w14:textId="77777777" w:rsidR="000A20EE" w:rsidRPr="0028502A" w:rsidRDefault="000A20EE" w:rsidP="0028502A">
      <w:pPr>
        <w:rPr>
          <w:lang w:eastAsia="en-GB"/>
        </w:rPr>
      </w:pPr>
    </w:p>
    <w:p w14:paraId="69F40519" w14:textId="4E3727C2" w:rsidR="00B35D01" w:rsidRDefault="00B35D01" w:rsidP="00B35D01">
      <w:pPr>
        <w:pStyle w:val="Heading3"/>
      </w:pPr>
      <w:r>
        <w:t>2.</w:t>
      </w:r>
      <w:r w:rsidR="00D36DCF">
        <w:t>6</w:t>
      </w:r>
      <w:r>
        <w:t>.1</w:t>
      </w:r>
      <w:r>
        <w:tab/>
        <w:t>CHO and CPAC evaluation</w:t>
      </w:r>
    </w:p>
    <w:p w14:paraId="756CF991" w14:textId="3D8EA44F" w:rsidR="00B35D01" w:rsidRDefault="00AB67AB" w:rsidP="00B35D01">
      <w:pPr>
        <w:rPr>
          <w:rFonts w:ascii="Arial" w:hAnsi="Arial" w:cs="Arial"/>
        </w:rPr>
      </w:pPr>
      <w:r>
        <w:rPr>
          <w:rFonts w:ascii="Arial" w:hAnsi="Arial" w:cs="Arial"/>
        </w:rPr>
        <w:t xml:space="preserve">One of the discussions at </w:t>
      </w:r>
      <w:r w:rsidR="00B35D01">
        <w:rPr>
          <w:rFonts w:ascii="Arial" w:hAnsi="Arial" w:cs="Arial"/>
        </w:rPr>
        <w:t xml:space="preserve">RAN2#119 </w:t>
      </w:r>
      <w:r>
        <w:rPr>
          <w:rFonts w:ascii="Arial" w:hAnsi="Arial" w:cs="Arial"/>
        </w:rPr>
        <w:t xml:space="preserve">concerned </w:t>
      </w:r>
      <w:r w:rsidR="00B35D01">
        <w:rPr>
          <w:rFonts w:ascii="Arial" w:hAnsi="Arial" w:cs="Arial"/>
        </w:rPr>
        <w:t>whether the CHO and CPAC conditions should be evaluated at the same time, or whether the CHO conditions should be evaluated first and the conditions for CPA/CPC should be evaluated only once the CHO configuration has been applied. The following FFSs were then listed at the RAN2#119 meeting:</w:t>
      </w:r>
    </w:p>
    <w:p w14:paraId="7CA4E6E4" w14:textId="77777777" w:rsidR="00B35D01" w:rsidRDefault="00B35D01" w:rsidP="00B35D01">
      <w:pPr>
        <w:pStyle w:val="Agreement"/>
      </w:pPr>
      <w:r>
        <w:t>FFS: When triggering CHO, UE perform CPC/CPA configuration to start CPC/CPA evaluation, FFS if CHO evaluation and CPC/CPA evaluation is concurrent or sequential.</w:t>
      </w:r>
    </w:p>
    <w:p w14:paraId="5D3AB6EE" w14:textId="612A16B1" w:rsidR="00B35D01" w:rsidRDefault="00B35D01" w:rsidP="00B35D01"/>
    <w:p w14:paraId="74D950B6" w14:textId="1206819C" w:rsidR="001B7D13" w:rsidRPr="00FA150C" w:rsidRDefault="001B7D13" w:rsidP="00B35D01">
      <w:pPr>
        <w:rPr>
          <w:rFonts w:ascii="Arial" w:hAnsi="Arial" w:cs="Arial"/>
        </w:rPr>
      </w:pPr>
      <w:r w:rsidRPr="0015279E">
        <w:rPr>
          <w:rFonts w:ascii="Arial" w:hAnsi="Arial" w:cs="Arial"/>
        </w:rPr>
        <w:t>Different benefits and drawbacks can be identified for the sequential and simultaneous evaluations of CHO and CPC/CPA</w:t>
      </w:r>
      <w:r w:rsidR="00AB67AB" w:rsidRPr="0015279E">
        <w:rPr>
          <w:rFonts w:ascii="Arial" w:hAnsi="Arial" w:cs="Arial"/>
        </w:rPr>
        <w:t>, respectively</w:t>
      </w:r>
      <w:r w:rsidRPr="00FA150C">
        <w:rPr>
          <w:rFonts w:ascii="Arial" w:hAnsi="Arial" w:cs="Arial"/>
        </w:rPr>
        <w:t>:</w:t>
      </w:r>
    </w:p>
    <w:p w14:paraId="060C728F" w14:textId="60AD844A" w:rsidR="001B7D13" w:rsidRPr="00FA150C" w:rsidRDefault="001B7D13" w:rsidP="001B7D13">
      <w:pPr>
        <w:rPr>
          <w:rFonts w:ascii="Arial" w:hAnsi="Arial" w:cs="Arial"/>
        </w:rPr>
      </w:pPr>
      <w:r w:rsidRPr="00FA150C">
        <w:rPr>
          <w:rFonts w:ascii="Arial" w:hAnsi="Arial" w:cs="Arial"/>
          <w:u w:val="single"/>
        </w:rPr>
        <w:t>Sequenti</w:t>
      </w:r>
      <w:r w:rsidR="00FB3349" w:rsidRPr="00FA150C">
        <w:rPr>
          <w:rFonts w:ascii="Arial" w:hAnsi="Arial" w:cs="Arial"/>
          <w:u w:val="single"/>
        </w:rPr>
        <w:t>a</w:t>
      </w:r>
      <w:r w:rsidRPr="00FA150C">
        <w:rPr>
          <w:rFonts w:ascii="Arial" w:hAnsi="Arial" w:cs="Arial"/>
          <w:u w:val="single"/>
        </w:rPr>
        <w:t>l evaluation of CHO and CPC/CPA (</w:t>
      </w:r>
      <w:proofErr w:type="gramStart"/>
      <w:r w:rsidRPr="00FA150C">
        <w:rPr>
          <w:rFonts w:ascii="Arial" w:hAnsi="Arial" w:cs="Arial"/>
          <w:u w:val="single"/>
        </w:rPr>
        <w:t>i.e.</w:t>
      </w:r>
      <w:proofErr w:type="gramEnd"/>
      <w:r w:rsidRPr="00FA150C">
        <w:rPr>
          <w:rFonts w:ascii="Arial" w:hAnsi="Arial" w:cs="Arial"/>
          <w:u w:val="single"/>
        </w:rPr>
        <w:t xml:space="preserve"> CPC/CPA is evaluated after CHO execution)</w:t>
      </w:r>
      <w:r w:rsidRPr="00FA150C">
        <w:rPr>
          <w:rFonts w:ascii="Arial" w:hAnsi="Arial" w:cs="Arial"/>
        </w:rPr>
        <w:t>:</w:t>
      </w:r>
    </w:p>
    <w:p w14:paraId="044C0571" w14:textId="77777777" w:rsidR="00FA150C" w:rsidRDefault="00AB67AB" w:rsidP="002E2B8F">
      <w:pPr>
        <w:ind w:left="567"/>
        <w:rPr>
          <w:rFonts w:ascii="Arial" w:hAnsi="Arial" w:cs="Arial"/>
        </w:rPr>
      </w:pPr>
      <w:r w:rsidRPr="00FA150C">
        <w:rPr>
          <w:rFonts w:ascii="Arial" w:hAnsi="Arial" w:cs="Arial"/>
        </w:rPr>
        <w:t xml:space="preserve">A solution with sequential evaluation would correspond to that CPC or CPA is configured within the CHO configuration and that the UE then only applies the CPC/CPA configuration (including execution conditions) once the CHO configuration is applied/executed. Specification of such solution </w:t>
      </w:r>
      <w:r w:rsidR="0056318C" w:rsidRPr="00FA150C">
        <w:rPr>
          <w:rFonts w:ascii="Arial" w:hAnsi="Arial" w:cs="Arial"/>
        </w:rPr>
        <w:t>should thus be rather simple</w:t>
      </w:r>
      <w:r w:rsidRPr="00FA150C">
        <w:rPr>
          <w:rFonts w:ascii="Arial" w:hAnsi="Arial" w:cs="Arial"/>
        </w:rPr>
        <w:t xml:space="preserve">, but there would be a delay </w:t>
      </w:r>
      <w:r w:rsidR="0056318C" w:rsidRPr="00FA150C">
        <w:rPr>
          <w:rFonts w:ascii="Arial" w:hAnsi="Arial" w:cs="Arial"/>
        </w:rPr>
        <w:t xml:space="preserve">until </w:t>
      </w:r>
      <w:r w:rsidRPr="00FA150C">
        <w:rPr>
          <w:rFonts w:ascii="Arial" w:hAnsi="Arial" w:cs="Arial"/>
        </w:rPr>
        <w:t>the resulting MCG+SCG configuration</w:t>
      </w:r>
      <w:r w:rsidR="0056318C" w:rsidRPr="00FA150C">
        <w:rPr>
          <w:rFonts w:ascii="Arial" w:hAnsi="Arial" w:cs="Arial"/>
        </w:rPr>
        <w:t xml:space="preserve"> is achieved for the UE</w:t>
      </w:r>
      <w:r w:rsidRPr="00FA150C">
        <w:rPr>
          <w:rFonts w:ascii="Arial" w:hAnsi="Arial" w:cs="Arial"/>
        </w:rPr>
        <w:t xml:space="preserve">. In some </w:t>
      </w:r>
      <w:proofErr w:type="gramStart"/>
      <w:r w:rsidRPr="00FA150C">
        <w:rPr>
          <w:rFonts w:ascii="Arial" w:hAnsi="Arial" w:cs="Arial"/>
        </w:rPr>
        <w:t>cases</w:t>
      </w:r>
      <w:proofErr w:type="gramEnd"/>
      <w:r w:rsidRPr="00FA150C">
        <w:rPr>
          <w:rFonts w:ascii="Arial" w:hAnsi="Arial" w:cs="Arial"/>
        </w:rPr>
        <w:t xml:space="preserve"> there may even, as a result, be two separate execution procedures for the </w:t>
      </w:r>
      <w:r w:rsidRPr="00FA150C">
        <w:rPr>
          <w:rFonts w:ascii="Arial" w:hAnsi="Arial" w:cs="Arial"/>
        </w:rPr>
        <w:lastRenderedPageBreak/>
        <w:t xml:space="preserve">SCG, one towards the </w:t>
      </w:r>
      <w:proofErr w:type="spellStart"/>
      <w:r w:rsidRPr="00FA150C">
        <w:rPr>
          <w:rFonts w:ascii="Arial" w:hAnsi="Arial" w:cs="Arial"/>
        </w:rPr>
        <w:t>PSCell</w:t>
      </w:r>
      <w:proofErr w:type="spellEnd"/>
      <w:r w:rsidRPr="00FA150C">
        <w:rPr>
          <w:rFonts w:ascii="Arial" w:hAnsi="Arial" w:cs="Arial"/>
        </w:rPr>
        <w:t xml:space="preserve"> </w:t>
      </w:r>
      <w:r w:rsidR="0056318C" w:rsidRPr="00FA150C">
        <w:rPr>
          <w:rFonts w:ascii="Arial" w:hAnsi="Arial" w:cs="Arial"/>
        </w:rPr>
        <w:t xml:space="preserve">configured as part of the CHO configuration and then one towards the candidate target </w:t>
      </w:r>
      <w:proofErr w:type="spellStart"/>
      <w:r w:rsidR="0056318C" w:rsidRPr="00FA150C">
        <w:rPr>
          <w:rFonts w:ascii="Arial" w:hAnsi="Arial" w:cs="Arial"/>
        </w:rPr>
        <w:t>PSCell</w:t>
      </w:r>
      <w:proofErr w:type="spellEnd"/>
      <w:r w:rsidR="0056318C" w:rsidRPr="00FA150C">
        <w:rPr>
          <w:rFonts w:ascii="Arial" w:hAnsi="Arial" w:cs="Arial"/>
        </w:rPr>
        <w:t xml:space="preserve"> in the CPC with fulfilled execution conditions.</w:t>
      </w:r>
    </w:p>
    <w:p w14:paraId="7BD5D6E4" w14:textId="4852498A" w:rsidR="001B7D13" w:rsidRPr="00FA150C" w:rsidRDefault="001B7D13" w:rsidP="001B7D13">
      <w:pPr>
        <w:rPr>
          <w:rFonts w:ascii="Arial" w:hAnsi="Arial" w:cs="Arial"/>
          <w:u w:val="single"/>
        </w:rPr>
      </w:pPr>
      <w:r w:rsidRPr="00FA150C">
        <w:rPr>
          <w:rFonts w:ascii="Arial" w:hAnsi="Arial" w:cs="Arial"/>
          <w:u w:val="single"/>
        </w:rPr>
        <w:t>Simultaneous evaluation of CHO and CPC/CPA:</w:t>
      </w:r>
    </w:p>
    <w:p w14:paraId="55A1DBEB" w14:textId="3FDCD10E" w:rsidR="001B7D13" w:rsidRPr="0015279E" w:rsidRDefault="0056318C" w:rsidP="002E2B8F">
      <w:pPr>
        <w:ind w:left="567"/>
        <w:rPr>
          <w:rFonts w:ascii="Arial" w:hAnsi="Arial" w:cs="Arial"/>
        </w:rPr>
      </w:pPr>
      <w:r w:rsidRPr="0015279E">
        <w:rPr>
          <w:rFonts w:ascii="Arial" w:hAnsi="Arial" w:cs="Arial"/>
        </w:rPr>
        <w:t xml:space="preserve">A solution with simultaneous evaluation of CHO and CPC/CPA would mean that the UE needs to have the execution conditions for both types of conditional configurations available and then consider whether conditions are fulfilled for only one or for both when execution is to be started. This will likely mean that the specification of such solution is </w:t>
      </w:r>
      <w:r w:rsidR="001B7D13" w:rsidRPr="0015279E">
        <w:rPr>
          <w:rFonts w:ascii="Arial" w:hAnsi="Arial" w:cs="Arial"/>
        </w:rPr>
        <w:t xml:space="preserve">more complex, </w:t>
      </w:r>
      <w:proofErr w:type="gramStart"/>
      <w:r w:rsidR="001B7D13" w:rsidRPr="0015279E">
        <w:rPr>
          <w:rFonts w:ascii="Arial" w:hAnsi="Arial" w:cs="Arial"/>
        </w:rPr>
        <w:t>e.g.</w:t>
      </w:r>
      <w:proofErr w:type="gramEnd"/>
      <w:r w:rsidR="001B7D13" w:rsidRPr="0015279E">
        <w:rPr>
          <w:rFonts w:ascii="Arial" w:hAnsi="Arial" w:cs="Arial"/>
        </w:rPr>
        <w:t xml:space="preserve"> there </w:t>
      </w:r>
      <w:r w:rsidRPr="0015279E">
        <w:rPr>
          <w:rFonts w:ascii="Arial" w:hAnsi="Arial" w:cs="Arial"/>
        </w:rPr>
        <w:t xml:space="preserve">is a </w:t>
      </w:r>
      <w:r w:rsidR="001B7D13" w:rsidRPr="0015279E">
        <w:rPr>
          <w:rFonts w:ascii="Arial" w:hAnsi="Arial" w:cs="Arial"/>
        </w:rPr>
        <w:t xml:space="preserve">need for </w:t>
      </w:r>
      <w:r w:rsidRPr="0015279E">
        <w:rPr>
          <w:rFonts w:ascii="Arial" w:hAnsi="Arial" w:cs="Arial"/>
        </w:rPr>
        <w:t xml:space="preserve">some </w:t>
      </w:r>
      <w:r w:rsidR="001B7D13" w:rsidRPr="0015279E">
        <w:rPr>
          <w:rFonts w:ascii="Arial" w:hAnsi="Arial" w:cs="Arial"/>
        </w:rPr>
        <w:t>rules for UE evaluation of these in parallel, e.g. whether it should be possible to execute CPC before CHO, and how to handle cases where only execution conditions for one of them is fulfilled.</w:t>
      </w:r>
    </w:p>
    <w:p w14:paraId="1189C9E6" w14:textId="397EAADD" w:rsidR="001B7D13" w:rsidRDefault="0056318C" w:rsidP="002E2B8F">
      <w:pPr>
        <w:ind w:left="567"/>
        <w:rPr>
          <w:rFonts w:ascii="Arial" w:hAnsi="Arial" w:cs="Arial"/>
        </w:rPr>
      </w:pPr>
      <w:r w:rsidRPr="0015279E">
        <w:rPr>
          <w:rFonts w:ascii="Arial" w:hAnsi="Arial" w:cs="Arial"/>
        </w:rPr>
        <w:t>A b</w:t>
      </w:r>
      <w:r w:rsidR="001B7D13" w:rsidRPr="0015279E">
        <w:rPr>
          <w:rFonts w:ascii="Arial" w:hAnsi="Arial" w:cs="Arial"/>
        </w:rPr>
        <w:t xml:space="preserve">enefit </w:t>
      </w:r>
      <w:r w:rsidRPr="0015279E">
        <w:rPr>
          <w:rFonts w:ascii="Arial" w:hAnsi="Arial" w:cs="Arial"/>
        </w:rPr>
        <w:t xml:space="preserve">is however that </w:t>
      </w:r>
      <w:r w:rsidR="001B7D13" w:rsidRPr="0015279E">
        <w:rPr>
          <w:rFonts w:ascii="Arial" w:hAnsi="Arial" w:cs="Arial"/>
        </w:rPr>
        <w:t xml:space="preserve">the most suitable </w:t>
      </w:r>
      <w:proofErr w:type="spellStart"/>
      <w:r w:rsidR="001B7D13" w:rsidRPr="0015279E">
        <w:rPr>
          <w:rFonts w:ascii="Arial" w:hAnsi="Arial" w:cs="Arial"/>
        </w:rPr>
        <w:t>PSCell</w:t>
      </w:r>
      <w:proofErr w:type="spellEnd"/>
      <w:r w:rsidR="001B7D13" w:rsidRPr="0015279E">
        <w:rPr>
          <w:rFonts w:ascii="Arial" w:hAnsi="Arial" w:cs="Arial"/>
        </w:rPr>
        <w:t xml:space="preserve"> configuration (if any)</w:t>
      </w:r>
      <w:r w:rsidRPr="0015279E">
        <w:rPr>
          <w:rFonts w:ascii="Arial" w:hAnsi="Arial" w:cs="Arial"/>
        </w:rPr>
        <w:t xml:space="preserve"> can be applied already </w:t>
      </w:r>
      <w:r w:rsidR="001B7D13" w:rsidRPr="0015279E">
        <w:rPr>
          <w:rFonts w:ascii="Arial" w:hAnsi="Arial" w:cs="Arial"/>
        </w:rPr>
        <w:t>at the point in time of CHO execution.</w:t>
      </w:r>
    </w:p>
    <w:p w14:paraId="4904CF20" w14:textId="3C1A55FF" w:rsidR="005E03E8" w:rsidRDefault="002E2B8F" w:rsidP="001B7D13">
      <w:pPr>
        <w:rPr>
          <w:rFonts w:ascii="Arial" w:hAnsi="Arial" w:cs="Arial"/>
        </w:rPr>
      </w:pPr>
      <w:r>
        <w:rPr>
          <w:rFonts w:ascii="Arial" w:hAnsi="Arial" w:cs="Arial"/>
        </w:rPr>
        <w:t>In either case, delaying the execution of one conditional reconfiguration (CHO or CPC) due to that the UE needs to evaluate another conditional reconfiguration (</w:t>
      </w:r>
      <w:proofErr w:type="gramStart"/>
      <w:r>
        <w:rPr>
          <w:rFonts w:ascii="Arial" w:hAnsi="Arial" w:cs="Arial"/>
        </w:rPr>
        <w:t>CPC  or</w:t>
      </w:r>
      <w:proofErr w:type="gramEnd"/>
      <w:r>
        <w:rPr>
          <w:rFonts w:ascii="Arial" w:hAnsi="Arial" w:cs="Arial"/>
        </w:rPr>
        <w:t xml:space="preserve"> CHO) should be avoided, as it could otherwise lead to failures of the MCG and/or the SCG and potentially even lead to re-establishment. The solution should thus be designed in such a way that the execution of a conditional reconfiguration is not delayed when the execution condition(s) are fulfilled.</w:t>
      </w:r>
    </w:p>
    <w:p w14:paraId="08D20717" w14:textId="08CC9928" w:rsidR="00B35D01" w:rsidRPr="001B290A" w:rsidRDefault="003452BA" w:rsidP="00B35D01">
      <w:pPr>
        <w:pStyle w:val="Proposal"/>
      </w:pPr>
      <w:bookmarkStart w:id="20" w:name="_Toc114148082"/>
      <w:bookmarkStart w:id="21" w:name="_Toc115426226"/>
      <w:r>
        <w:t>The execution of one type of conditional configuration (CHO or CPC) should not be delayed due to evaluation of the other conditional configuration (CPC or CHO)</w:t>
      </w:r>
      <w:r w:rsidR="00B35D01" w:rsidRPr="001B290A">
        <w:t>.</w:t>
      </w:r>
      <w:bookmarkEnd w:id="20"/>
      <w:bookmarkEnd w:id="21"/>
    </w:p>
    <w:p w14:paraId="29C31B79" w14:textId="7B2A119E" w:rsidR="00AD1117" w:rsidRDefault="00AD1117" w:rsidP="00261C7F"/>
    <w:p w14:paraId="1D3CBA5B" w14:textId="34FD2E3F" w:rsidR="00B35D01" w:rsidRDefault="00B35D01" w:rsidP="00B35D01">
      <w:pPr>
        <w:pStyle w:val="Heading3"/>
      </w:pPr>
      <w:r>
        <w:t>2.</w:t>
      </w:r>
      <w:r w:rsidR="00D36DCF">
        <w:t>6</w:t>
      </w:r>
      <w:r>
        <w:t>.2</w:t>
      </w:r>
      <w:r>
        <w:tab/>
        <w:t>SN initiated CPC</w:t>
      </w:r>
    </w:p>
    <w:p w14:paraId="1BD9455B" w14:textId="59DB24C3" w:rsidR="00B35D01" w:rsidRPr="001824F2" w:rsidRDefault="002A04C9" w:rsidP="006F7F01">
      <w:pPr>
        <w:rPr>
          <w:rFonts w:ascii="Arial" w:hAnsi="Arial" w:cs="Arial"/>
        </w:rPr>
      </w:pPr>
      <w:r>
        <w:rPr>
          <w:rFonts w:ascii="Arial" w:hAnsi="Arial" w:cs="Arial"/>
        </w:rPr>
        <w:t>In existing specifications</w:t>
      </w:r>
      <w:r w:rsidR="00E6081A">
        <w:rPr>
          <w:rFonts w:ascii="Arial" w:hAnsi="Arial" w:cs="Arial"/>
        </w:rPr>
        <w:t>,</w:t>
      </w:r>
      <w:r>
        <w:rPr>
          <w:rFonts w:ascii="Arial" w:hAnsi="Arial" w:cs="Arial"/>
        </w:rPr>
        <w:t xml:space="preserve"> both MN </w:t>
      </w:r>
      <w:proofErr w:type="gramStart"/>
      <w:r>
        <w:rPr>
          <w:rFonts w:ascii="Arial" w:hAnsi="Arial" w:cs="Arial"/>
        </w:rPr>
        <w:t>initiated</w:t>
      </w:r>
      <w:proofErr w:type="gramEnd"/>
      <w:r>
        <w:rPr>
          <w:rFonts w:ascii="Arial" w:hAnsi="Arial" w:cs="Arial"/>
        </w:rPr>
        <w:t xml:space="preserve"> and SN initiated </w:t>
      </w:r>
      <w:r w:rsidR="00F351B5">
        <w:rPr>
          <w:rFonts w:ascii="Arial" w:hAnsi="Arial" w:cs="Arial"/>
        </w:rPr>
        <w:t xml:space="preserve">CPC are supported. In MN initiated CPC the execution conditions refer to the MCG </w:t>
      </w:r>
      <w:proofErr w:type="spellStart"/>
      <w:r w:rsidR="00F351B5" w:rsidRPr="00F351B5">
        <w:rPr>
          <w:rFonts w:ascii="Arial" w:hAnsi="Arial" w:cs="Arial"/>
          <w:i/>
          <w:iCs/>
        </w:rPr>
        <w:t>measConfig</w:t>
      </w:r>
      <w:proofErr w:type="spellEnd"/>
      <w:r w:rsidR="00F351B5">
        <w:rPr>
          <w:rFonts w:ascii="Arial" w:hAnsi="Arial" w:cs="Arial"/>
        </w:rPr>
        <w:t xml:space="preserve">, whereas the execution conditions refer to the SCG </w:t>
      </w:r>
      <w:proofErr w:type="spellStart"/>
      <w:r w:rsidR="00F351B5" w:rsidRPr="00F351B5">
        <w:rPr>
          <w:rFonts w:ascii="Arial" w:hAnsi="Arial" w:cs="Arial"/>
          <w:i/>
          <w:iCs/>
        </w:rPr>
        <w:t>measConfig</w:t>
      </w:r>
      <w:proofErr w:type="spellEnd"/>
      <w:r w:rsidR="00F351B5">
        <w:rPr>
          <w:rFonts w:ascii="Arial" w:hAnsi="Arial" w:cs="Arial"/>
        </w:rPr>
        <w:t xml:space="preserve"> in SN initiated CPC. </w:t>
      </w:r>
      <w:r w:rsidR="00E6081A">
        <w:rPr>
          <w:rFonts w:ascii="Arial" w:hAnsi="Arial" w:cs="Arial"/>
        </w:rPr>
        <w:t xml:space="preserve">When CPC configurations are included in </w:t>
      </w:r>
      <w:r w:rsidR="000B05A2">
        <w:rPr>
          <w:rFonts w:ascii="Arial" w:hAnsi="Arial" w:cs="Arial"/>
        </w:rPr>
        <w:t xml:space="preserve">CHO configurations, the SN may not be able to initiate any CPC configuration as </w:t>
      </w:r>
      <w:r w:rsidR="000819EA">
        <w:rPr>
          <w:rFonts w:ascii="Arial" w:hAnsi="Arial" w:cs="Arial"/>
        </w:rPr>
        <w:t xml:space="preserve">a target candidate MN first needs to be </w:t>
      </w:r>
      <w:r w:rsidR="00A04E4A">
        <w:rPr>
          <w:rFonts w:ascii="Arial" w:hAnsi="Arial" w:cs="Arial"/>
        </w:rPr>
        <w:t>selected</w:t>
      </w:r>
      <w:r w:rsidR="000819EA">
        <w:rPr>
          <w:rFonts w:ascii="Arial" w:hAnsi="Arial" w:cs="Arial"/>
        </w:rPr>
        <w:t xml:space="preserve">. However, </w:t>
      </w:r>
      <w:r w:rsidR="00716BFD">
        <w:rPr>
          <w:rFonts w:ascii="Arial" w:hAnsi="Arial" w:cs="Arial"/>
        </w:rPr>
        <w:t xml:space="preserve">it is still a very relevant case that the execution conditions refer to the target candidate SN </w:t>
      </w:r>
      <w:proofErr w:type="spellStart"/>
      <w:r w:rsidR="00716BFD" w:rsidRPr="001476B2">
        <w:rPr>
          <w:rFonts w:ascii="Arial" w:hAnsi="Arial" w:cs="Arial"/>
          <w:i/>
          <w:iCs/>
        </w:rPr>
        <w:t>measConfig</w:t>
      </w:r>
      <w:proofErr w:type="spellEnd"/>
      <w:r w:rsidR="00716BFD">
        <w:rPr>
          <w:rFonts w:ascii="Arial" w:hAnsi="Arial" w:cs="Arial"/>
        </w:rPr>
        <w:t xml:space="preserve">, as the mobility is </w:t>
      </w:r>
      <w:r w:rsidR="001476B2">
        <w:rPr>
          <w:rFonts w:ascii="Arial" w:hAnsi="Arial" w:cs="Arial"/>
        </w:rPr>
        <w:t xml:space="preserve">related to </w:t>
      </w:r>
      <w:r w:rsidR="00F03522">
        <w:rPr>
          <w:rFonts w:ascii="Arial" w:hAnsi="Arial" w:cs="Arial"/>
        </w:rPr>
        <w:t xml:space="preserve">that node. </w:t>
      </w:r>
      <w:r w:rsidR="006F3C68">
        <w:rPr>
          <w:rFonts w:ascii="Arial" w:hAnsi="Arial" w:cs="Arial"/>
        </w:rPr>
        <w:t xml:space="preserve">Therefore, the case of execution conditions related to the SN </w:t>
      </w:r>
      <w:proofErr w:type="spellStart"/>
      <w:r w:rsidR="006F3C68" w:rsidRPr="006F3C68">
        <w:rPr>
          <w:rFonts w:ascii="Arial" w:hAnsi="Arial" w:cs="Arial"/>
          <w:i/>
          <w:iCs/>
        </w:rPr>
        <w:t>measConfig</w:t>
      </w:r>
      <w:proofErr w:type="spellEnd"/>
      <w:r w:rsidR="006F3C68">
        <w:rPr>
          <w:rFonts w:ascii="Arial" w:hAnsi="Arial" w:cs="Arial"/>
        </w:rPr>
        <w:t xml:space="preserve"> should be supported, even it may not be strictly </w:t>
      </w:r>
      <w:r w:rsidR="002539FC">
        <w:rPr>
          <w:rFonts w:ascii="Arial" w:hAnsi="Arial" w:cs="Arial"/>
        </w:rPr>
        <w:t>“</w:t>
      </w:r>
      <w:r w:rsidR="006F3C68">
        <w:rPr>
          <w:rFonts w:ascii="Arial" w:hAnsi="Arial" w:cs="Arial"/>
        </w:rPr>
        <w:t>initiated</w:t>
      </w:r>
      <w:r w:rsidR="002539FC">
        <w:rPr>
          <w:rFonts w:ascii="Arial" w:hAnsi="Arial" w:cs="Arial"/>
        </w:rPr>
        <w:t>”</w:t>
      </w:r>
      <w:r w:rsidR="006F3C68">
        <w:rPr>
          <w:rFonts w:ascii="Arial" w:hAnsi="Arial" w:cs="Arial"/>
        </w:rPr>
        <w:t xml:space="preserve"> by the SN.</w:t>
      </w:r>
    </w:p>
    <w:p w14:paraId="08061F4C" w14:textId="6B628B82" w:rsidR="00B35D01" w:rsidRDefault="004B044E" w:rsidP="00B35D01">
      <w:pPr>
        <w:pStyle w:val="Proposal"/>
      </w:pPr>
      <w:bookmarkStart w:id="22" w:name="_Toc115426227"/>
      <w:r>
        <w:t xml:space="preserve">It should be possible to configure execution conditions related to </w:t>
      </w:r>
      <w:r w:rsidR="008C6C13">
        <w:t>a</w:t>
      </w:r>
      <w:r w:rsidR="00170B9B">
        <w:t>n</w:t>
      </w:r>
      <w:r w:rsidR="008C6C13">
        <w:t xml:space="preserve"> SN </w:t>
      </w:r>
      <w:proofErr w:type="spellStart"/>
      <w:proofErr w:type="gramStart"/>
      <w:r w:rsidR="008C6C13" w:rsidRPr="008C6C13">
        <w:rPr>
          <w:i/>
          <w:iCs/>
        </w:rPr>
        <w:t>measConfig</w:t>
      </w:r>
      <w:proofErr w:type="spellEnd"/>
      <w:r w:rsidR="008C6C13">
        <w:t>, i</w:t>
      </w:r>
      <w:r w:rsidR="00682BA2">
        <w:t>n case</w:t>
      </w:r>
      <w:proofErr w:type="gramEnd"/>
      <w:r w:rsidR="008C6C13">
        <w:t xml:space="preserve"> CPC configurations are included in CHO configurations</w:t>
      </w:r>
      <w:r w:rsidR="00B35D01">
        <w:t>.</w:t>
      </w:r>
      <w:bookmarkEnd w:id="22"/>
    </w:p>
    <w:p w14:paraId="6D23E69D" w14:textId="77777777" w:rsidR="00AD1117" w:rsidRDefault="00AD1117" w:rsidP="00261C7F"/>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F6CCB9" w14:textId="5ECB5CED" w:rsidR="0084252B"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426208" w:history="1">
        <w:r w:rsidR="0084252B" w:rsidRPr="000B7D90">
          <w:rPr>
            <w:rStyle w:val="Hyperlink"/>
            <w:noProof/>
          </w:rPr>
          <w:t>Observation 1</w:t>
        </w:r>
        <w:r w:rsidR="0084252B">
          <w:rPr>
            <w:rFonts w:asciiTheme="minorHAnsi" w:eastAsiaTheme="minorEastAsia" w:hAnsiTheme="minorHAnsi" w:cstheme="minorBidi"/>
            <w:b w:val="0"/>
            <w:noProof/>
            <w:sz w:val="22"/>
            <w:szCs w:val="22"/>
            <w:lang w:val="en-SE" w:eastAsia="en-SE"/>
          </w:rPr>
          <w:tab/>
        </w:r>
        <w:r w:rsidR="0084252B" w:rsidRPr="000B7D90">
          <w:rPr>
            <w:rStyle w:val="Hyperlink"/>
            <w:noProof/>
          </w:rPr>
          <w:t>In case of a PSCell change the target SN needs to have the information about the SN initiated CPC configurations that the UE has stored.</w:t>
        </w:r>
      </w:hyperlink>
    </w:p>
    <w:p w14:paraId="681888C1" w14:textId="5E220E1E"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09" w:history="1">
        <w:r w:rsidRPr="000B7D90">
          <w:rPr>
            <w:rStyle w:val="Hyperlink"/>
            <w:noProof/>
          </w:rPr>
          <w:t>Observation 2</w:t>
        </w:r>
        <w:r>
          <w:rPr>
            <w:rFonts w:asciiTheme="minorHAnsi" w:eastAsiaTheme="minorEastAsia" w:hAnsiTheme="minorHAnsi" w:cstheme="minorBidi"/>
            <w:b w:val="0"/>
            <w:noProof/>
            <w:sz w:val="22"/>
            <w:szCs w:val="22"/>
            <w:lang w:val="en-SE" w:eastAsia="en-SE"/>
          </w:rPr>
          <w:tab/>
        </w:r>
        <w:r w:rsidRPr="000B7D90">
          <w:rPr>
            <w:rStyle w:val="Hyperlink"/>
            <w:noProof/>
          </w:rPr>
          <w:t>Keeping CPC configurations at inter-MN cell changes (i.e. at inter-MN CHO execution or at inter-MN normal HO) may require MCG reconfiguration and inter-node signalling.</w:t>
        </w:r>
      </w:hyperlink>
    </w:p>
    <w:p w14:paraId="1043531F" w14:textId="03C40CE3"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10" w:history="1">
        <w:r w:rsidRPr="000B7D90">
          <w:rPr>
            <w:rStyle w:val="Hyperlink"/>
            <w:noProof/>
          </w:rPr>
          <w:t>Observation 3</w:t>
        </w:r>
        <w:r>
          <w:rPr>
            <w:rFonts w:asciiTheme="minorHAnsi" w:eastAsiaTheme="minorEastAsia" w:hAnsiTheme="minorHAnsi" w:cstheme="minorBidi"/>
            <w:b w:val="0"/>
            <w:noProof/>
            <w:sz w:val="22"/>
            <w:szCs w:val="22"/>
            <w:lang w:val="en-SE" w:eastAsia="en-SE"/>
          </w:rPr>
          <w:tab/>
        </w:r>
        <w:r w:rsidRPr="000B7D90">
          <w:rPr>
            <w:rStyle w:val="Hyperlink"/>
            <w:noProof/>
          </w:rPr>
          <w:t>There does not seem to be any security issue related to subsequent conditional reconfigurations.</w:t>
        </w:r>
      </w:hyperlink>
    </w:p>
    <w:p w14:paraId="01D87B2C" w14:textId="0F0EA262"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11" w:history="1">
        <w:r w:rsidRPr="000B7D90">
          <w:rPr>
            <w:rStyle w:val="Hyperlink"/>
            <w:noProof/>
          </w:rPr>
          <w:t>Observation 4</w:t>
        </w:r>
        <w:r>
          <w:rPr>
            <w:rFonts w:asciiTheme="minorHAnsi" w:eastAsiaTheme="minorEastAsia" w:hAnsiTheme="minorHAnsi" w:cstheme="minorBidi"/>
            <w:b w:val="0"/>
            <w:noProof/>
            <w:sz w:val="22"/>
            <w:szCs w:val="22"/>
            <w:lang w:val="en-SE" w:eastAsia="en-SE"/>
          </w:rPr>
          <w:tab/>
        </w:r>
        <w:r w:rsidRPr="000B7D90">
          <w:rPr>
            <w:rStyle w:val="Hyperlink"/>
            <w:noProof/>
          </w:rPr>
          <w:t>In case support for CPC or CPA within a CHO configuration is specified, the possibility to also support a CPC configuration within a CPC or CPA configuration may be supported without additional specification work.</w:t>
        </w:r>
      </w:hyperlink>
    </w:p>
    <w:p w14:paraId="7570C759" w14:textId="68F9EF38"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603B4C" w14:textId="42D3710B" w:rsidR="0084252B"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26212" w:history="1">
        <w:r w:rsidR="0084252B" w:rsidRPr="00595BD7">
          <w:rPr>
            <w:rStyle w:val="Hyperlink"/>
            <w:noProof/>
          </w:rPr>
          <w:t>Proposal 1</w:t>
        </w:r>
        <w:r w:rsidR="0084252B">
          <w:rPr>
            <w:rFonts w:asciiTheme="minorHAnsi" w:eastAsiaTheme="minorEastAsia" w:hAnsiTheme="minorHAnsi" w:cstheme="minorBidi"/>
            <w:b w:val="0"/>
            <w:noProof/>
            <w:sz w:val="22"/>
            <w:szCs w:val="22"/>
            <w:lang w:val="en-SE" w:eastAsia="en-SE"/>
          </w:rPr>
          <w:tab/>
        </w:r>
        <w:r w:rsidR="0084252B" w:rsidRPr="00595BD7">
          <w:rPr>
            <w:rStyle w:val="Hyperlink"/>
            <w:noProof/>
          </w:rPr>
          <w:t xml:space="preserve">There should be no specified limit for number of </w:t>
        </w:r>
        <w:r w:rsidR="0084252B" w:rsidRPr="00595BD7">
          <w:rPr>
            <w:rStyle w:val="Hyperlink"/>
            <w:noProof/>
            <w:lang w:val="en-US"/>
          </w:rPr>
          <w:t>subsequent conditional changes that are supported</w:t>
        </w:r>
        <w:r w:rsidR="0084252B" w:rsidRPr="00595BD7">
          <w:rPr>
            <w:rStyle w:val="Hyperlink"/>
            <w:noProof/>
          </w:rPr>
          <w:t>.</w:t>
        </w:r>
      </w:hyperlink>
    </w:p>
    <w:p w14:paraId="2BCFBC56" w14:textId="786DF765"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13" w:history="1">
        <w:r w:rsidRPr="00595BD7">
          <w:rPr>
            <w:rStyle w:val="Hyperlink"/>
            <w:noProof/>
          </w:rPr>
          <w:t>Proposal 2</w:t>
        </w:r>
        <w:r>
          <w:rPr>
            <w:rFonts w:asciiTheme="minorHAnsi" w:eastAsiaTheme="minorEastAsia" w:hAnsiTheme="minorHAnsi" w:cstheme="minorBidi"/>
            <w:b w:val="0"/>
            <w:noProof/>
            <w:sz w:val="22"/>
            <w:szCs w:val="22"/>
            <w:lang w:val="en-SE" w:eastAsia="en-SE"/>
          </w:rPr>
          <w:tab/>
        </w:r>
        <w:r w:rsidRPr="00595BD7">
          <w:rPr>
            <w:rStyle w:val="Hyperlink"/>
            <w:noProof/>
          </w:rPr>
          <w:t xml:space="preserve">It should be possible for the UE to keep, i.e. not release, CPC configurations after cell group changes (normal or conditional) in order to support </w:t>
        </w:r>
        <w:r w:rsidRPr="00595BD7">
          <w:rPr>
            <w:rStyle w:val="Hyperlink"/>
            <w:noProof/>
            <w:lang w:val="en-US"/>
          </w:rPr>
          <w:t>subsequent Conditional PSCell Changes</w:t>
        </w:r>
        <w:r w:rsidRPr="00595BD7">
          <w:rPr>
            <w:rStyle w:val="Hyperlink"/>
            <w:noProof/>
          </w:rPr>
          <w:t>.</w:t>
        </w:r>
      </w:hyperlink>
    </w:p>
    <w:p w14:paraId="5B78EE08" w14:textId="2448986E"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14" w:history="1">
        <w:r w:rsidRPr="00595BD7">
          <w:rPr>
            <w:rStyle w:val="Hyperlink"/>
            <w:noProof/>
          </w:rPr>
          <w:t>Proposal 3</w:t>
        </w:r>
        <w:r>
          <w:rPr>
            <w:rFonts w:asciiTheme="minorHAnsi" w:eastAsiaTheme="minorEastAsia" w:hAnsiTheme="minorHAnsi" w:cstheme="minorBidi"/>
            <w:b w:val="0"/>
            <w:noProof/>
            <w:sz w:val="22"/>
            <w:szCs w:val="22"/>
            <w:lang w:val="en-SE" w:eastAsia="en-SE"/>
          </w:rPr>
          <w:tab/>
        </w:r>
        <w:r w:rsidRPr="00595BD7">
          <w:rPr>
            <w:rStyle w:val="Hyperlink"/>
            <w:noProof/>
          </w:rPr>
          <w:t>Keeping CPA configurations at cell group changes is not prioritized in Rel-18.</w:t>
        </w:r>
      </w:hyperlink>
    </w:p>
    <w:p w14:paraId="49508AFD" w14:textId="479E1D36"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15" w:history="1">
        <w:r w:rsidRPr="00595BD7">
          <w:rPr>
            <w:rStyle w:val="Hyperlink"/>
            <w:noProof/>
          </w:rPr>
          <w:t>Proposal 4</w:t>
        </w:r>
        <w:r>
          <w:rPr>
            <w:rFonts w:asciiTheme="minorHAnsi" w:eastAsiaTheme="minorEastAsia" w:hAnsiTheme="minorHAnsi" w:cstheme="minorBidi"/>
            <w:b w:val="0"/>
            <w:noProof/>
            <w:sz w:val="22"/>
            <w:szCs w:val="22"/>
            <w:lang w:val="en-SE" w:eastAsia="en-SE"/>
          </w:rPr>
          <w:tab/>
        </w:r>
        <w:r w:rsidRPr="00595BD7">
          <w:rPr>
            <w:rStyle w:val="Hyperlink"/>
            <w:noProof/>
          </w:rPr>
          <w:t>The UE should keep (i.e. not release) a stored CPC configuration after cell group change in a manner where subsequent signaling after the cell group change is not needed.</w:t>
        </w:r>
      </w:hyperlink>
    </w:p>
    <w:p w14:paraId="31F0DCD5" w14:textId="28527D90"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16" w:history="1">
        <w:r w:rsidRPr="00595BD7">
          <w:rPr>
            <w:rStyle w:val="Hyperlink"/>
            <w:noProof/>
          </w:rPr>
          <w:t>Proposal 5</w:t>
        </w:r>
        <w:r>
          <w:rPr>
            <w:rFonts w:asciiTheme="minorHAnsi" w:eastAsiaTheme="minorEastAsia" w:hAnsiTheme="minorHAnsi" w:cstheme="minorBidi"/>
            <w:b w:val="0"/>
            <w:noProof/>
            <w:sz w:val="22"/>
            <w:szCs w:val="22"/>
            <w:lang w:val="en-SE" w:eastAsia="en-SE"/>
          </w:rPr>
          <w:tab/>
        </w:r>
        <w:r w:rsidRPr="00595BD7">
          <w:rPr>
            <w:rStyle w:val="Hyperlink"/>
            <w:noProof/>
          </w:rPr>
          <w:t>The UE should keep (i.e. not release) a stored CPC configuration after cell group change based on information from the target node of the cell group change procedure, e.g. in the CPC configuration or PSCell change configuration that triggered the cell group change.</w:t>
        </w:r>
      </w:hyperlink>
    </w:p>
    <w:p w14:paraId="0054B7D1" w14:textId="64186ECC"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17" w:history="1">
        <w:r w:rsidRPr="00595BD7">
          <w:rPr>
            <w:rStyle w:val="Hyperlink"/>
            <w:noProof/>
          </w:rPr>
          <w:t>Proposal 6</w:t>
        </w:r>
        <w:r>
          <w:rPr>
            <w:rFonts w:asciiTheme="minorHAnsi" w:eastAsiaTheme="minorEastAsia" w:hAnsiTheme="minorHAnsi" w:cstheme="minorBidi"/>
            <w:b w:val="0"/>
            <w:noProof/>
            <w:sz w:val="22"/>
            <w:szCs w:val="22"/>
            <w:lang w:val="en-SE" w:eastAsia="en-SE"/>
          </w:rPr>
          <w:tab/>
        </w:r>
        <w:r w:rsidRPr="00595BD7">
          <w:rPr>
            <w:rStyle w:val="Hyperlink"/>
            <w:noProof/>
          </w:rPr>
          <w:t>In case of an inter-SN PSCell change the MN should inform the target SN about the SN initiated CPC configurations that the UE has stored.</w:t>
        </w:r>
      </w:hyperlink>
    </w:p>
    <w:p w14:paraId="4D1C77A2" w14:textId="1FBEA79F"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18" w:history="1">
        <w:r w:rsidRPr="00595BD7">
          <w:rPr>
            <w:rStyle w:val="Hyperlink"/>
            <w:noProof/>
          </w:rPr>
          <w:t>Proposal 7</w:t>
        </w:r>
        <w:r>
          <w:rPr>
            <w:rFonts w:asciiTheme="minorHAnsi" w:eastAsiaTheme="minorEastAsia" w:hAnsiTheme="minorHAnsi" w:cstheme="minorBidi"/>
            <w:b w:val="0"/>
            <w:noProof/>
            <w:sz w:val="22"/>
            <w:szCs w:val="22"/>
            <w:lang w:val="en-SE" w:eastAsia="en-SE"/>
          </w:rPr>
          <w:tab/>
        </w:r>
        <w:r w:rsidRPr="00595BD7">
          <w:rPr>
            <w:rStyle w:val="Hyperlink"/>
            <w:noProof/>
          </w:rPr>
          <w:t>Both intra-SN and inter-SN Conditional PSCell Changes should be targeted in the Rel-18 work.</w:t>
        </w:r>
      </w:hyperlink>
    </w:p>
    <w:p w14:paraId="58267039" w14:textId="2DCAF885"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19" w:history="1">
        <w:r w:rsidRPr="00595BD7">
          <w:rPr>
            <w:rStyle w:val="Hyperlink"/>
            <w:noProof/>
          </w:rPr>
          <w:t>Proposal 8</w:t>
        </w:r>
        <w:r>
          <w:rPr>
            <w:rFonts w:asciiTheme="minorHAnsi" w:eastAsiaTheme="minorEastAsia" w:hAnsiTheme="minorHAnsi" w:cstheme="minorBidi"/>
            <w:b w:val="0"/>
            <w:noProof/>
            <w:sz w:val="22"/>
            <w:szCs w:val="22"/>
            <w:lang w:val="en-SE" w:eastAsia="en-SE"/>
          </w:rPr>
          <w:tab/>
        </w:r>
        <w:r w:rsidRPr="00595BD7">
          <w:rPr>
            <w:rStyle w:val="Hyperlink"/>
            <w:noProof/>
          </w:rPr>
          <w:t>SN initiated inter-SN Conditional PSCell Changes should be supported in the Rel-18 solution.</w:t>
        </w:r>
      </w:hyperlink>
    </w:p>
    <w:p w14:paraId="55AC11EC" w14:textId="254EDC2D"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20" w:history="1">
        <w:r w:rsidRPr="00595BD7">
          <w:rPr>
            <w:rStyle w:val="Hyperlink"/>
            <w:noProof/>
          </w:rPr>
          <w:t>Proposal 9</w:t>
        </w:r>
        <w:r>
          <w:rPr>
            <w:rFonts w:asciiTheme="minorHAnsi" w:eastAsiaTheme="minorEastAsia" w:hAnsiTheme="minorHAnsi" w:cstheme="minorBidi"/>
            <w:b w:val="0"/>
            <w:noProof/>
            <w:sz w:val="22"/>
            <w:szCs w:val="22"/>
            <w:lang w:val="en-SE" w:eastAsia="en-SE"/>
          </w:rPr>
          <w:tab/>
        </w:r>
        <w:r w:rsidRPr="00595BD7">
          <w:rPr>
            <w:rStyle w:val="Hyperlink"/>
            <w:noProof/>
          </w:rPr>
          <w:t>In case MN initiated inter-SN CPC is to be targeted in the Rel-18 work, A3/A5 events where the candidate target PSCell is compared with the current/serving PSCell should be supported for MN initiated inter-SN CPC.</w:t>
        </w:r>
      </w:hyperlink>
    </w:p>
    <w:p w14:paraId="4538750F" w14:textId="7E4A5770"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21" w:history="1">
        <w:r w:rsidRPr="00595BD7">
          <w:rPr>
            <w:rStyle w:val="Hyperlink"/>
            <w:noProof/>
          </w:rPr>
          <w:t>Proposal 10</w:t>
        </w:r>
        <w:r>
          <w:rPr>
            <w:rFonts w:asciiTheme="minorHAnsi" w:eastAsiaTheme="minorEastAsia" w:hAnsiTheme="minorHAnsi" w:cstheme="minorBidi"/>
            <w:b w:val="0"/>
            <w:noProof/>
            <w:sz w:val="22"/>
            <w:szCs w:val="22"/>
            <w:lang w:val="en-SE" w:eastAsia="en-SE"/>
          </w:rPr>
          <w:tab/>
        </w:r>
        <w:r w:rsidRPr="00595BD7">
          <w:rPr>
            <w:rStyle w:val="Hyperlink"/>
            <w:noProof/>
          </w:rPr>
          <w:t>RAN2 to discuss whether it should be possible to keep CPC configurations at PCell change.</w:t>
        </w:r>
      </w:hyperlink>
    </w:p>
    <w:p w14:paraId="21EF90A0" w14:textId="5363FDEC"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22" w:history="1">
        <w:r w:rsidRPr="00595BD7">
          <w:rPr>
            <w:rStyle w:val="Hyperlink"/>
            <w:noProof/>
          </w:rPr>
          <w:t>Proposal 11</w:t>
        </w:r>
        <w:r>
          <w:rPr>
            <w:rFonts w:asciiTheme="minorHAnsi" w:eastAsiaTheme="minorEastAsia" w:hAnsiTheme="minorHAnsi" w:cstheme="minorBidi"/>
            <w:b w:val="0"/>
            <w:noProof/>
            <w:sz w:val="22"/>
            <w:szCs w:val="22"/>
            <w:lang w:val="en-SE" w:eastAsia="en-SE"/>
          </w:rPr>
          <w:tab/>
        </w:r>
        <w:r w:rsidRPr="00595BD7">
          <w:rPr>
            <w:rStyle w:val="Hyperlink"/>
            <w:noProof/>
          </w:rPr>
          <w:t xml:space="preserve">When the CPC configuration is stored after cell group change, the UE should keep the corresponding execution conditions and conditional </w:t>
        </w:r>
        <w:r w:rsidRPr="00595BD7">
          <w:rPr>
            <w:rStyle w:val="Hyperlink"/>
            <w:i/>
            <w:iCs/>
            <w:noProof/>
          </w:rPr>
          <w:t>measConfig</w:t>
        </w:r>
        <w:r w:rsidRPr="00595BD7">
          <w:rPr>
            <w:rStyle w:val="Hyperlink"/>
            <w:noProof/>
          </w:rPr>
          <w:t>.</w:t>
        </w:r>
      </w:hyperlink>
    </w:p>
    <w:p w14:paraId="7E8C0B3C" w14:textId="30BFA8B9"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23" w:history="1">
        <w:r w:rsidRPr="00595BD7">
          <w:rPr>
            <w:rStyle w:val="Hyperlink"/>
            <w:noProof/>
          </w:rPr>
          <w:t>Proposal 12</w:t>
        </w:r>
        <w:r>
          <w:rPr>
            <w:rFonts w:asciiTheme="minorHAnsi" w:eastAsiaTheme="minorEastAsia" w:hAnsiTheme="minorHAnsi" w:cstheme="minorBidi"/>
            <w:b w:val="0"/>
            <w:noProof/>
            <w:sz w:val="22"/>
            <w:szCs w:val="22"/>
            <w:lang w:val="en-SE" w:eastAsia="en-SE"/>
          </w:rPr>
          <w:tab/>
        </w:r>
        <w:r w:rsidRPr="00595BD7">
          <w:rPr>
            <w:rStyle w:val="Hyperlink"/>
            <w:noProof/>
          </w:rPr>
          <w:t xml:space="preserve">The MN should, at PSCell change procedures, provide the execution conditions and the related conditional </w:t>
        </w:r>
        <w:r w:rsidRPr="00595BD7">
          <w:rPr>
            <w:rStyle w:val="Hyperlink"/>
            <w:i/>
            <w:iCs/>
            <w:noProof/>
          </w:rPr>
          <w:t>measConfig</w:t>
        </w:r>
        <w:r w:rsidRPr="00595BD7">
          <w:rPr>
            <w:rStyle w:val="Hyperlink"/>
            <w:noProof/>
          </w:rPr>
          <w:t xml:space="preserve"> for SN initiated CPC configurations (together with the SN initiated CPC configurations) to the target SN.</w:t>
        </w:r>
      </w:hyperlink>
    </w:p>
    <w:p w14:paraId="5D97F714" w14:textId="1C0CCDF0"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24" w:history="1">
        <w:r w:rsidRPr="00595BD7">
          <w:rPr>
            <w:rStyle w:val="Hyperlink"/>
            <w:noProof/>
          </w:rPr>
          <w:t>Proposal 13</w:t>
        </w:r>
        <w:r>
          <w:rPr>
            <w:rFonts w:asciiTheme="minorHAnsi" w:eastAsiaTheme="minorEastAsia" w:hAnsiTheme="minorHAnsi" w:cstheme="minorBidi"/>
            <w:b w:val="0"/>
            <w:noProof/>
            <w:sz w:val="22"/>
            <w:szCs w:val="22"/>
            <w:lang w:val="en-SE" w:eastAsia="en-SE"/>
          </w:rPr>
          <w:tab/>
        </w:r>
        <w:r w:rsidRPr="00595BD7">
          <w:rPr>
            <w:rStyle w:val="Hyperlink"/>
            <w:noProof/>
          </w:rPr>
          <w:t>RAN2 to consider support for inclusion of CPC configuration within a CPC or CPA configuration, in case CPC/CPA configuration is supported within CHO configuration.</w:t>
        </w:r>
      </w:hyperlink>
    </w:p>
    <w:p w14:paraId="29EEA4E4" w14:textId="25B7716B"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25" w:history="1">
        <w:r w:rsidRPr="00595BD7">
          <w:rPr>
            <w:rStyle w:val="Hyperlink"/>
            <w:noProof/>
          </w:rPr>
          <w:t>Proposal 14</w:t>
        </w:r>
        <w:r>
          <w:rPr>
            <w:rFonts w:asciiTheme="minorHAnsi" w:eastAsiaTheme="minorEastAsia" w:hAnsiTheme="minorHAnsi" w:cstheme="minorBidi"/>
            <w:b w:val="0"/>
            <w:noProof/>
            <w:sz w:val="22"/>
            <w:szCs w:val="22"/>
            <w:lang w:val="en-SE" w:eastAsia="en-SE"/>
          </w:rPr>
          <w:tab/>
        </w:r>
        <w:r w:rsidRPr="00595BD7">
          <w:rPr>
            <w:rStyle w:val="Hyperlink"/>
            <w:noProof/>
          </w:rPr>
          <w:t>CPC configurations should be supported within normal PSCell addition commands.</w:t>
        </w:r>
      </w:hyperlink>
    </w:p>
    <w:p w14:paraId="43388483" w14:textId="147C7AC6"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26" w:history="1">
        <w:r w:rsidRPr="00595BD7">
          <w:rPr>
            <w:rStyle w:val="Hyperlink"/>
            <w:noProof/>
          </w:rPr>
          <w:t>Proposal 15</w:t>
        </w:r>
        <w:r>
          <w:rPr>
            <w:rFonts w:asciiTheme="minorHAnsi" w:eastAsiaTheme="minorEastAsia" w:hAnsiTheme="minorHAnsi" w:cstheme="minorBidi"/>
            <w:b w:val="0"/>
            <w:noProof/>
            <w:sz w:val="22"/>
            <w:szCs w:val="22"/>
            <w:lang w:val="en-SE" w:eastAsia="en-SE"/>
          </w:rPr>
          <w:tab/>
        </w:r>
        <w:r w:rsidRPr="00595BD7">
          <w:rPr>
            <w:rStyle w:val="Hyperlink"/>
            <w:noProof/>
          </w:rPr>
          <w:t>The execution of one type of conditional configuration (CHO or CPC) should not be delayed due to evaluation of the other conditional configuration (CPC or CHO).</w:t>
        </w:r>
      </w:hyperlink>
    </w:p>
    <w:p w14:paraId="6A406C94" w14:textId="447FDEEE" w:rsidR="0084252B" w:rsidRDefault="0084252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6227" w:history="1">
        <w:r w:rsidRPr="00595BD7">
          <w:rPr>
            <w:rStyle w:val="Hyperlink"/>
            <w:noProof/>
          </w:rPr>
          <w:t>Proposal 16</w:t>
        </w:r>
        <w:r>
          <w:rPr>
            <w:rFonts w:asciiTheme="minorHAnsi" w:eastAsiaTheme="minorEastAsia" w:hAnsiTheme="minorHAnsi" w:cstheme="minorBidi"/>
            <w:b w:val="0"/>
            <w:noProof/>
            <w:sz w:val="22"/>
            <w:szCs w:val="22"/>
            <w:lang w:val="en-SE" w:eastAsia="en-SE"/>
          </w:rPr>
          <w:tab/>
        </w:r>
        <w:r w:rsidRPr="00595BD7">
          <w:rPr>
            <w:rStyle w:val="Hyperlink"/>
            <w:noProof/>
          </w:rPr>
          <w:t xml:space="preserve">It should be possible to configure execution conditions related to an SN </w:t>
        </w:r>
        <w:r w:rsidRPr="00595BD7">
          <w:rPr>
            <w:rStyle w:val="Hyperlink"/>
            <w:i/>
            <w:iCs/>
            <w:noProof/>
          </w:rPr>
          <w:t>measConfig</w:t>
        </w:r>
        <w:r w:rsidRPr="00595BD7">
          <w:rPr>
            <w:rStyle w:val="Hyperlink"/>
            <w:noProof/>
          </w:rPr>
          <w:t>, in case CPC configurations are included in CHO configurations.</w:t>
        </w:r>
      </w:hyperlink>
    </w:p>
    <w:p w14:paraId="0307436E" w14:textId="4492658C"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23" w:name="_In-sequence_SDU_delivery"/>
      <w:bookmarkEnd w:id="23"/>
      <w:r w:rsidRPr="00CE0424">
        <w:t>References</w:t>
      </w:r>
    </w:p>
    <w:p w14:paraId="5DCC939F" w14:textId="249279EC" w:rsidR="003A7EF3" w:rsidRPr="00CE0424" w:rsidRDefault="00FD4266" w:rsidP="00CE0424">
      <w:pPr>
        <w:pStyle w:val="Reference"/>
      </w:pPr>
      <w:bookmarkStart w:id="24" w:name="_Ref107489175"/>
      <w:bookmarkStart w:id="25" w:name="_Ref174151459"/>
      <w:bookmarkStart w:id="26" w:name="_Ref189809556"/>
      <w:r w:rsidRPr="00FD4266">
        <w:t>RP-221799</w:t>
      </w:r>
      <w:r w:rsidR="005F3025" w:rsidRPr="00CE0424">
        <w:t xml:space="preserve">, </w:t>
      </w:r>
      <w:r w:rsidRPr="00FD4266">
        <w:t>Revised WID on Further NR mobility enhancements</w:t>
      </w:r>
      <w:r w:rsidR="005F3025" w:rsidRPr="00CE0424">
        <w:t xml:space="preserve">, </w:t>
      </w:r>
      <w:r w:rsidRPr="00FD4266">
        <w:t>MediaTek Inc.</w:t>
      </w:r>
      <w:r w:rsidR="005F3025" w:rsidRPr="00CE0424">
        <w:t xml:space="preserve">, </w:t>
      </w:r>
      <w:r w:rsidRPr="00FD4266">
        <w:t>3GPP TSG RAN Meeting #96</w:t>
      </w:r>
      <w:r w:rsidR="005F3025" w:rsidRPr="00CE0424">
        <w:t xml:space="preserve">, </w:t>
      </w:r>
      <w:r w:rsidRPr="00FD4266">
        <w:t>June 6-9, 2022</w:t>
      </w:r>
      <w:bookmarkEnd w:id="24"/>
      <w:bookmarkEnd w:id="25"/>
      <w:bookmarkEnd w:id="26"/>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6A69D" w14:textId="77777777" w:rsidR="0048351B" w:rsidRDefault="0048351B">
      <w:r>
        <w:separator/>
      </w:r>
    </w:p>
  </w:endnote>
  <w:endnote w:type="continuationSeparator" w:id="0">
    <w:p w14:paraId="26502A1F" w14:textId="77777777" w:rsidR="0048351B" w:rsidRDefault="0048351B">
      <w:r>
        <w:continuationSeparator/>
      </w:r>
    </w:p>
  </w:endnote>
  <w:endnote w:type="continuationNotice" w:id="1">
    <w:p w14:paraId="1E704B36" w14:textId="77777777" w:rsidR="0048351B" w:rsidRDefault="00483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CCBF5" w14:textId="77777777" w:rsidR="0048351B" w:rsidRDefault="0048351B">
      <w:r>
        <w:separator/>
      </w:r>
    </w:p>
  </w:footnote>
  <w:footnote w:type="continuationSeparator" w:id="0">
    <w:p w14:paraId="08ACB5B2" w14:textId="77777777" w:rsidR="0048351B" w:rsidRDefault="0048351B">
      <w:r>
        <w:continuationSeparator/>
      </w:r>
    </w:p>
  </w:footnote>
  <w:footnote w:type="continuationNotice" w:id="1">
    <w:p w14:paraId="2EEC1BF5" w14:textId="77777777" w:rsidR="0048351B" w:rsidRDefault="004835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12CF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A95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CE4FC7"/>
    <w:multiLevelType w:val="hybridMultilevel"/>
    <w:tmpl w:val="2F28951E"/>
    <w:lvl w:ilvl="0" w:tplc="9F18D2B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C40FEB"/>
    <w:multiLevelType w:val="hybridMultilevel"/>
    <w:tmpl w:val="A1A82010"/>
    <w:lvl w:ilvl="0" w:tplc="00FE8A4C">
      <w:start w:val="4"/>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BB3E85"/>
    <w:multiLevelType w:val="hybridMultilevel"/>
    <w:tmpl w:val="58AA09C4"/>
    <w:lvl w:ilvl="0" w:tplc="2DD0138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3A6490"/>
    <w:multiLevelType w:val="hybridMultilevel"/>
    <w:tmpl w:val="85DCC38E"/>
    <w:lvl w:ilvl="0" w:tplc="1304FA12">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F45CE"/>
    <w:multiLevelType w:val="hybridMultilevel"/>
    <w:tmpl w:val="476C48BA"/>
    <w:lvl w:ilvl="0" w:tplc="70563196">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B114C5"/>
    <w:multiLevelType w:val="hybridMultilevel"/>
    <w:tmpl w:val="DF7C4020"/>
    <w:lvl w:ilvl="0" w:tplc="F1FCEF8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6B19B1"/>
    <w:multiLevelType w:val="hybridMultilevel"/>
    <w:tmpl w:val="8F3452F2"/>
    <w:lvl w:ilvl="0" w:tplc="C24C736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466A9"/>
    <w:multiLevelType w:val="hybridMultilevel"/>
    <w:tmpl w:val="339E7E04"/>
    <w:lvl w:ilvl="0" w:tplc="89E8211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FFD5917"/>
    <w:multiLevelType w:val="hybridMultilevel"/>
    <w:tmpl w:val="2D14BC78"/>
    <w:lvl w:ilvl="0" w:tplc="F5ECE624">
      <w:start w:val="1"/>
      <w:numFmt w:val="bullet"/>
      <w:lvlText w:val="›"/>
      <w:lvlJc w:val="left"/>
      <w:pPr>
        <w:tabs>
          <w:tab w:val="num" w:pos="720"/>
        </w:tabs>
        <w:ind w:left="720" w:hanging="360"/>
      </w:pPr>
      <w:rPr>
        <w:rFonts w:ascii="Arial" w:hAnsi="Arial" w:hint="default"/>
      </w:rPr>
    </w:lvl>
    <w:lvl w:ilvl="1" w:tplc="8E34DC96">
      <w:numFmt w:val="bullet"/>
      <w:lvlText w:val="—"/>
      <w:lvlJc w:val="left"/>
      <w:pPr>
        <w:tabs>
          <w:tab w:val="num" w:pos="1440"/>
        </w:tabs>
        <w:ind w:left="1440" w:hanging="360"/>
      </w:pPr>
      <w:rPr>
        <w:rFonts w:ascii="Ericsson Hilda Light" w:hAnsi="Ericsson Hilda Light" w:hint="default"/>
      </w:rPr>
    </w:lvl>
    <w:lvl w:ilvl="2" w:tplc="1F2C3824">
      <w:numFmt w:val="bullet"/>
      <w:lvlText w:val="—"/>
      <w:lvlJc w:val="left"/>
      <w:pPr>
        <w:tabs>
          <w:tab w:val="num" w:pos="2160"/>
        </w:tabs>
        <w:ind w:left="2160" w:hanging="360"/>
      </w:pPr>
      <w:rPr>
        <w:rFonts w:ascii="Ericsson Hilda Light" w:hAnsi="Ericsson Hilda Light" w:hint="default"/>
      </w:rPr>
    </w:lvl>
    <w:lvl w:ilvl="3" w:tplc="4594C23E" w:tentative="1">
      <w:start w:val="1"/>
      <w:numFmt w:val="bullet"/>
      <w:lvlText w:val="›"/>
      <w:lvlJc w:val="left"/>
      <w:pPr>
        <w:tabs>
          <w:tab w:val="num" w:pos="2880"/>
        </w:tabs>
        <w:ind w:left="2880" w:hanging="360"/>
      </w:pPr>
      <w:rPr>
        <w:rFonts w:ascii="Arial" w:hAnsi="Arial" w:hint="default"/>
      </w:rPr>
    </w:lvl>
    <w:lvl w:ilvl="4" w:tplc="418E6824" w:tentative="1">
      <w:start w:val="1"/>
      <w:numFmt w:val="bullet"/>
      <w:lvlText w:val="›"/>
      <w:lvlJc w:val="left"/>
      <w:pPr>
        <w:tabs>
          <w:tab w:val="num" w:pos="3600"/>
        </w:tabs>
        <w:ind w:left="3600" w:hanging="360"/>
      </w:pPr>
      <w:rPr>
        <w:rFonts w:ascii="Arial" w:hAnsi="Arial" w:hint="default"/>
      </w:rPr>
    </w:lvl>
    <w:lvl w:ilvl="5" w:tplc="84788CFA" w:tentative="1">
      <w:start w:val="1"/>
      <w:numFmt w:val="bullet"/>
      <w:lvlText w:val="›"/>
      <w:lvlJc w:val="left"/>
      <w:pPr>
        <w:tabs>
          <w:tab w:val="num" w:pos="4320"/>
        </w:tabs>
        <w:ind w:left="4320" w:hanging="360"/>
      </w:pPr>
      <w:rPr>
        <w:rFonts w:ascii="Arial" w:hAnsi="Arial" w:hint="default"/>
      </w:rPr>
    </w:lvl>
    <w:lvl w:ilvl="6" w:tplc="F808DD76" w:tentative="1">
      <w:start w:val="1"/>
      <w:numFmt w:val="bullet"/>
      <w:lvlText w:val="›"/>
      <w:lvlJc w:val="left"/>
      <w:pPr>
        <w:tabs>
          <w:tab w:val="num" w:pos="5040"/>
        </w:tabs>
        <w:ind w:left="5040" w:hanging="360"/>
      </w:pPr>
      <w:rPr>
        <w:rFonts w:ascii="Arial" w:hAnsi="Arial" w:hint="default"/>
      </w:rPr>
    </w:lvl>
    <w:lvl w:ilvl="7" w:tplc="B8401E16" w:tentative="1">
      <w:start w:val="1"/>
      <w:numFmt w:val="bullet"/>
      <w:lvlText w:val="›"/>
      <w:lvlJc w:val="left"/>
      <w:pPr>
        <w:tabs>
          <w:tab w:val="num" w:pos="5760"/>
        </w:tabs>
        <w:ind w:left="5760" w:hanging="360"/>
      </w:pPr>
      <w:rPr>
        <w:rFonts w:ascii="Arial" w:hAnsi="Arial" w:hint="default"/>
      </w:rPr>
    </w:lvl>
    <w:lvl w:ilvl="8" w:tplc="A3EE76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hybridMultilevel"/>
    <w:tmpl w:val="218C56DE"/>
    <w:lvl w:ilvl="0" w:tplc="D20467D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807C3A"/>
    <w:multiLevelType w:val="hybridMultilevel"/>
    <w:tmpl w:val="1402EB84"/>
    <w:lvl w:ilvl="0" w:tplc="1304FA12">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C50824"/>
    <w:multiLevelType w:val="hybridMultilevel"/>
    <w:tmpl w:val="E4785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BF5FD8"/>
    <w:multiLevelType w:val="hybridMultilevel"/>
    <w:tmpl w:val="63309CC4"/>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D853957"/>
    <w:multiLevelType w:val="hybridMultilevel"/>
    <w:tmpl w:val="AE601014"/>
    <w:lvl w:ilvl="0" w:tplc="9F6C6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8"/>
  </w:num>
  <w:num w:numId="5">
    <w:abstractNumId w:val="13"/>
  </w:num>
  <w:num w:numId="6">
    <w:abstractNumId w:val="21"/>
  </w:num>
  <w:num w:numId="7">
    <w:abstractNumId w:val="29"/>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8"/>
  </w:num>
  <w:num w:numId="15">
    <w:abstractNumId w:val="19"/>
  </w:num>
  <w:num w:numId="16">
    <w:abstractNumId w:val="31"/>
  </w:num>
  <w:num w:numId="17">
    <w:abstractNumId w:val="10"/>
  </w:num>
  <w:num w:numId="18">
    <w:abstractNumId w:val="11"/>
  </w:num>
  <w:num w:numId="19">
    <w:abstractNumId w:val="6"/>
  </w:num>
  <w:num w:numId="20">
    <w:abstractNumId w:val="36"/>
  </w:num>
  <w:num w:numId="21">
    <w:abstractNumId w:val="15"/>
  </w:num>
  <w:num w:numId="22">
    <w:abstractNumId w:val="33"/>
  </w:num>
  <w:num w:numId="23">
    <w:abstractNumId w:val="27"/>
  </w:num>
  <w:num w:numId="24">
    <w:abstractNumId w:val="4"/>
  </w:num>
  <w:num w:numId="25">
    <w:abstractNumId w:val="39"/>
  </w:num>
  <w:num w:numId="26">
    <w:abstractNumId w:val="38"/>
  </w:num>
  <w:num w:numId="27">
    <w:abstractNumId w:val="34"/>
  </w:num>
  <w:num w:numId="28">
    <w:abstractNumId w:val="37"/>
  </w:num>
  <w:num w:numId="29">
    <w:abstractNumId w:val="20"/>
  </w:num>
  <w:num w:numId="30">
    <w:abstractNumId w:val="5"/>
  </w:num>
  <w:num w:numId="31">
    <w:abstractNumId w:val="25"/>
  </w:num>
  <w:num w:numId="32">
    <w:abstractNumId w:val="17"/>
  </w:num>
  <w:num w:numId="33">
    <w:abstractNumId w:val="35"/>
  </w:num>
  <w:num w:numId="34">
    <w:abstractNumId w:val="32"/>
  </w:num>
  <w:num w:numId="35">
    <w:abstractNumId w:val="8"/>
  </w:num>
  <w:num w:numId="36">
    <w:abstractNumId w:val="7"/>
  </w:num>
  <w:num w:numId="37">
    <w:abstractNumId w:val="22"/>
  </w:num>
  <w:num w:numId="38">
    <w:abstractNumId w:val="24"/>
  </w:num>
  <w:num w:numId="39">
    <w:abstractNumId w:val="30"/>
  </w:num>
  <w:num w:numId="4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A82"/>
    <w:rsid w:val="00007CDC"/>
    <w:rsid w:val="00011B28"/>
    <w:rsid w:val="00015D15"/>
    <w:rsid w:val="00016CB9"/>
    <w:rsid w:val="00021683"/>
    <w:rsid w:val="00021B17"/>
    <w:rsid w:val="00023AE8"/>
    <w:rsid w:val="0002564D"/>
    <w:rsid w:val="00025ECA"/>
    <w:rsid w:val="000314CC"/>
    <w:rsid w:val="000325B8"/>
    <w:rsid w:val="00032AC8"/>
    <w:rsid w:val="00033AA3"/>
    <w:rsid w:val="00034C15"/>
    <w:rsid w:val="00036BA1"/>
    <w:rsid w:val="0004135B"/>
    <w:rsid w:val="000422E2"/>
    <w:rsid w:val="00042A69"/>
    <w:rsid w:val="00042F22"/>
    <w:rsid w:val="000444EF"/>
    <w:rsid w:val="0004782E"/>
    <w:rsid w:val="000501A7"/>
    <w:rsid w:val="00050F40"/>
    <w:rsid w:val="00052A07"/>
    <w:rsid w:val="000534E3"/>
    <w:rsid w:val="00054275"/>
    <w:rsid w:val="0005606A"/>
    <w:rsid w:val="0005635F"/>
    <w:rsid w:val="0005678A"/>
    <w:rsid w:val="00057117"/>
    <w:rsid w:val="000578ED"/>
    <w:rsid w:val="00060620"/>
    <w:rsid w:val="000606BE"/>
    <w:rsid w:val="000616E7"/>
    <w:rsid w:val="0006487E"/>
    <w:rsid w:val="000657D9"/>
    <w:rsid w:val="00065E1A"/>
    <w:rsid w:val="00066FF9"/>
    <w:rsid w:val="000732D8"/>
    <w:rsid w:val="00077E5F"/>
    <w:rsid w:val="0008036A"/>
    <w:rsid w:val="000819EA"/>
    <w:rsid w:val="00081AE6"/>
    <w:rsid w:val="0008356A"/>
    <w:rsid w:val="00084FF1"/>
    <w:rsid w:val="000855EB"/>
    <w:rsid w:val="00085B52"/>
    <w:rsid w:val="000866F2"/>
    <w:rsid w:val="0009009F"/>
    <w:rsid w:val="00091557"/>
    <w:rsid w:val="000924C1"/>
    <w:rsid w:val="000924F0"/>
    <w:rsid w:val="00093474"/>
    <w:rsid w:val="0009510F"/>
    <w:rsid w:val="000A0A4C"/>
    <w:rsid w:val="000A1B7B"/>
    <w:rsid w:val="000A20EE"/>
    <w:rsid w:val="000A56F2"/>
    <w:rsid w:val="000A754B"/>
    <w:rsid w:val="000A76E5"/>
    <w:rsid w:val="000A7D03"/>
    <w:rsid w:val="000B05A2"/>
    <w:rsid w:val="000B2719"/>
    <w:rsid w:val="000B3A8F"/>
    <w:rsid w:val="000B3B1B"/>
    <w:rsid w:val="000B4AB9"/>
    <w:rsid w:val="000B58C3"/>
    <w:rsid w:val="000B61E9"/>
    <w:rsid w:val="000C165A"/>
    <w:rsid w:val="000C2E19"/>
    <w:rsid w:val="000C58E6"/>
    <w:rsid w:val="000D0D07"/>
    <w:rsid w:val="000D4797"/>
    <w:rsid w:val="000D5390"/>
    <w:rsid w:val="000D63B2"/>
    <w:rsid w:val="000E0527"/>
    <w:rsid w:val="000E1E92"/>
    <w:rsid w:val="000E483E"/>
    <w:rsid w:val="000F06D6"/>
    <w:rsid w:val="000F0EB1"/>
    <w:rsid w:val="000F1106"/>
    <w:rsid w:val="000F3BE9"/>
    <w:rsid w:val="000F3F6C"/>
    <w:rsid w:val="000F4330"/>
    <w:rsid w:val="000F52A0"/>
    <w:rsid w:val="000F6DF3"/>
    <w:rsid w:val="001005FF"/>
    <w:rsid w:val="00101ED4"/>
    <w:rsid w:val="001028BF"/>
    <w:rsid w:val="001062FB"/>
    <w:rsid w:val="001063E6"/>
    <w:rsid w:val="0010754C"/>
    <w:rsid w:val="0011162F"/>
    <w:rsid w:val="00113CF4"/>
    <w:rsid w:val="001153EA"/>
    <w:rsid w:val="00115643"/>
    <w:rsid w:val="0011632E"/>
    <w:rsid w:val="00116765"/>
    <w:rsid w:val="001205C1"/>
    <w:rsid w:val="00120955"/>
    <w:rsid w:val="001219F5"/>
    <w:rsid w:val="00121A20"/>
    <w:rsid w:val="00122A9B"/>
    <w:rsid w:val="0012377F"/>
    <w:rsid w:val="00124314"/>
    <w:rsid w:val="00126B4A"/>
    <w:rsid w:val="00132B58"/>
    <w:rsid w:val="00132FD0"/>
    <w:rsid w:val="001339FD"/>
    <w:rsid w:val="00133FFD"/>
    <w:rsid w:val="001344C0"/>
    <w:rsid w:val="001345C8"/>
    <w:rsid w:val="001346FA"/>
    <w:rsid w:val="00135252"/>
    <w:rsid w:val="00135FF4"/>
    <w:rsid w:val="00137AB5"/>
    <w:rsid w:val="00137F0B"/>
    <w:rsid w:val="001431AA"/>
    <w:rsid w:val="001476B2"/>
    <w:rsid w:val="00150866"/>
    <w:rsid w:val="00151E23"/>
    <w:rsid w:val="001526E0"/>
    <w:rsid w:val="0015279E"/>
    <w:rsid w:val="00154097"/>
    <w:rsid w:val="001551B5"/>
    <w:rsid w:val="001562F0"/>
    <w:rsid w:val="001659C1"/>
    <w:rsid w:val="001678D3"/>
    <w:rsid w:val="00170B9B"/>
    <w:rsid w:val="00173A8E"/>
    <w:rsid w:val="0017502C"/>
    <w:rsid w:val="0018143F"/>
    <w:rsid w:val="00181FF8"/>
    <w:rsid w:val="001850DC"/>
    <w:rsid w:val="00187AAB"/>
    <w:rsid w:val="00190AC1"/>
    <w:rsid w:val="0019341A"/>
    <w:rsid w:val="00197DF9"/>
    <w:rsid w:val="001A0280"/>
    <w:rsid w:val="001A1987"/>
    <w:rsid w:val="001A2564"/>
    <w:rsid w:val="001A4729"/>
    <w:rsid w:val="001A6173"/>
    <w:rsid w:val="001A6CBA"/>
    <w:rsid w:val="001A715B"/>
    <w:rsid w:val="001B0D97"/>
    <w:rsid w:val="001B290A"/>
    <w:rsid w:val="001B370C"/>
    <w:rsid w:val="001B5A5D"/>
    <w:rsid w:val="001B7D13"/>
    <w:rsid w:val="001C1CE5"/>
    <w:rsid w:val="001C3D2A"/>
    <w:rsid w:val="001D080C"/>
    <w:rsid w:val="001D1874"/>
    <w:rsid w:val="001D4AC3"/>
    <w:rsid w:val="001D51BA"/>
    <w:rsid w:val="001D53E7"/>
    <w:rsid w:val="001D6342"/>
    <w:rsid w:val="001D6D53"/>
    <w:rsid w:val="001E47D8"/>
    <w:rsid w:val="001E4C42"/>
    <w:rsid w:val="001E58E2"/>
    <w:rsid w:val="001E7AED"/>
    <w:rsid w:val="001F3916"/>
    <w:rsid w:val="001F49D9"/>
    <w:rsid w:val="001F54C5"/>
    <w:rsid w:val="001F662C"/>
    <w:rsid w:val="001F7074"/>
    <w:rsid w:val="00200490"/>
    <w:rsid w:val="00201F3A"/>
    <w:rsid w:val="00203F96"/>
    <w:rsid w:val="002069B2"/>
    <w:rsid w:val="00207FA3"/>
    <w:rsid w:val="002139AC"/>
    <w:rsid w:val="0021406B"/>
    <w:rsid w:val="00214DA8"/>
    <w:rsid w:val="00215423"/>
    <w:rsid w:val="002158FA"/>
    <w:rsid w:val="00215D78"/>
    <w:rsid w:val="00220600"/>
    <w:rsid w:val="002224DB"/>
    <w:rsid w:val="00223FCB"/>
    <w:rsid w:val="002252C3"/>
    <w:rsid w:val="00225C54"/>
    <w:rsid w:val="00225E90"/>
    <w:rsid w:val="00230765"/>
    <w:rsid w:val="00230D18"/>
    <w:rsid w:val="002319E4"/>
    <w:rsid w:val="00235632"/>
    <w:rsid w:val="00235872"/>
    <w:rsid w:val="00241559"/>
    <w:rsid w:val="00241D06"/>
    <w:rsid w:val="002435B3"/>
    <w:rsid w:val="002458EB"/>
    <w:rsid w:val="00246C38"/>
    <w:rsid w:val="002500C8"/>
    <w:rsid w:val="00251431"/>
    <w:rsid w:val="00252D68"/>
    <w:rsid w:val="00253094"/>
    <w:rsid w:val="002539FC"/>
    <w:rsid w:val="00254D65"/>
    <w:rsid w:val="002556FA"/>
    <w:rsid w:val="00256A06"/>
    <w:rsid w:val="00257543"/>
    <w:rsid w:val="002617E7"/>
    <w:rsid w:val="00261C7F"/>
    <w:rsid w:val="00264228"/>
    <w:rsid w:val="00264334"/>
    <w:rsid w:val="0026473E"/>
    <w:rsid w:val="00266214"/>
    <w:rsid w:val="00267C83"/>
    <w:rsid w:val="0027144F"/>
    <w:rsid w:val="00271478"/>
    <w:rsid w:val="00271813"/>
    <w:rsid w:val="00271F3A"/>
    <w:rsid w:val="00273278"/>
    <w:rsid w:val="002737F4"/>
    <w:rsid w:val="002805F5"/>
    <w:rsid w:val="00280751"/>
    <w:rsid w:val="00280917"/>
    <w:rsid w:val="002818CA"/>
    <w:rsid w:val="00282415"/>
    <w:rsid w:val="0028280A"/>
    <w:rsid w:val="00282ED7"/>
    <w:rsid w:val="0028502A"/>
    <w:rsid w:val="00286ACD"/>
    <w:rsid w:val="00287838"/>
    <w:rsid w:val="002907B5"/>
    <w:rsid w:val="00292EB7"/>
    <w:rsid w:val="0029433E"/>
    <w:rsid w:val="00296227"/>
    <w:rsid w:val="00296F44"/>
    <w:rsid w:val="00297581"/>
    <w:rsid w:val="0029777D"/>
    <w:rsid w:val="002978A5"/>
    <w:rsid w:val="002A04C9"/>
    <w:rsid w:val="002A055E"/>
    <w:rsid w:val="002A1D4E"/>
    <w:rsid w:val="002A2869"/>
    <w:rsid w:val="002B24D6"/>
    <w:rsid w:val="002C0C34"/>
    <w:rsid w:val="002C3E6C"/>
    <w:rsid w:val="002C41E6"/>
    <w:rsid w:val="002C7718"/>
    <w:rsid w:val="002D071A"/>
    <w:rsid w:val="002D0C4F"/>
    <w:rsid w:val="002D1B04"/>
    <w:rsid w:val="002D34B2"/>
    <w:rsid w:val="002D4893"/>
    <w:rsid w:val="002D48B0"/>
    <w:rsid w:val="002D5B37"/>
    <w:rsid w:val="002D6328"/>
    <w:rsid w:val="002D6FB9"/>
    <w:rsid w:val="002D7637"/>
    <w:rsid w:val="002E17F2"/>
    <w:rsid w:val="002E2B8F"/>
    <w:rsid w:val="002E67BB"/>
    <w:rsid w:val="002E7133"/>
    <w:rsid w:val="002E7CAE"/>
    <w:rsid w:val="002F076B"/>
    <w:rsid w:val="002F1A6F"/>
    <w:rsid w:val="002F2242"/>
    <w:rsid w:val="002F2771"/>
    <w:rsid w:val="002F37A9"/>
    <w:rsid w:val="002F4B7C"/>
    <w:rsid w:val="002F4F7B"/>
    <w:rsid w:val="002F7FE7"/>
    <w:rsid w:val="00301CE6"/>
    <w:rsid w:val="0030256B"/>
    <w:rsid w:val="0030501F"/>
    <w:rsid w:val="00305E18"/>
    <w:rsid w:val="00307BA1"/>
    <w:rsid w:val="00311702"/>
    <w:rsid w:val="00311954"/>
    <w:rsid w:val="00311E82"/>
    <w:rsid w:val="00311FBC"/>
    <w:rsid w:val="00313FD6"/>
    <w:rsid w:val="003143BD"/>
    <w:rsid w:val="003148BF"/>
    <w:rsid w:val="00315363"/>
    <w:rsid w:val="003203ED"/>
    <w:rsid w:val="00320B75"/>
    <w:rsid w:val="003221C0"/>
    <w:rsid w:val="00322C9F"/>
    <w:rsid w:val="00324D23"/>
    <w:rsid w:val="00331751"/>
    <w:rsid w:val="00334579"/>
    <w:rsid w:val="00335858"/>
    <w:rsid w:val="00336BDA"/>
    <w:rsid w:val="003379BB"/>
    <w:rsid w:val="00340588"/>
    <w:rsid w:val="00342BD7"/>
    <w:rsid w:val="003452BA"/>
    <w:rsid w:val="00346DB5"/>
    <w:rsid w:val="003477B1"/>
    <w:rsid w:val="003503B7"/>
    <w:rsid w:val="00352F7D"/>
    <w:rsid w:val="00353872"/>
    <w:rsid w:val="0035635A"/>
    <w:rsid w:val="00357380"/>
    <w:rsid w:val="003602D9"/>
    <w:rsid w:val="003604CE"/>
    <w:rsid w:val="003608B4"/>
    <w:rsid w:val="003660AA"/>
    <w:rsid w:val="00366CA0"/>
    <w:rsid w:val="00370E47"/>
    <w:rsid w:val="00371F59"/>
    <w:rsid w:val="00372AA4"/>
    <w:rsid w:val="003742AC"/>
    <w:rsid w:val="00374562"/>
    <w:rsid w:val="00377CE1"/>
    <w:rsid w:val="003803EB"/>
    <w:rsid w:val="00382F20"/>
    <w:rsid w:val="00385BF0"/>
    <w:rsid w:val="0039323D"/>
    <w:rsid w:val="003939FF"/>
    <w:rsid w:val="00395CF4"/>
    <w:rsid w:val="003A0775"/>
    <w:rsid w:val="003A2223"/>
    <w:rsid w:val="003A2A0F"/>
    <w:rsid w:val="003A45A1"/>
    <w:rsid w:val="003A54A5"/>
    <w:rsid w:val="003A5B0A"/>
    <w:rsid w:val="003A6BAC"/>
    <w:rsid w:val="003A70A4"/>
    <w:rsid w:val="003A7EF3"/>
    <w:rsid w:val="003B14F1"/>
    <w:rsid w:val="003B159C"/>
    <w:rsid w:val="003B1CB6"/>
    <w:rsid w:val="003B369F"/>
    <w:rsid w:val="003B36A3"/>
    <w:rsid w:val="003B64BB"/>
    <w:rsid w:val="003B6F9E"/>
    <w:rsid w:val="003B7237"/>
    <w:rsid w:val="003B7FE5"/>
    <w:rsid w:val="003C02FD"/>
    <w:rsid w:val="003C11C8"/>
    <w:rsid w:val="003C2702"/>
    <w:rsid w:val="003C32D7"/>
    <w:rsid w:val="003C7806"/>
    <w:rsid w:val="003D109F"/>
    <w:rsid w:val="003D1417"/>
    <w:rsid w:val="003D2478"/>
    <w:rsid w:val="003D33ED"/>
    <w:rsid w:val="003D3C45"/>
    <w:rsid w:val="003D5B1F"/>
    <w:rsid w:val="003D6884"/>
    <w:rsid w:val="003E15FA"/>
    <w:rsid w:val="003E55E4"/>
    <w:rsid w:val="003E74E3"/>
    <w:rsid w:val="003E7638"/>
    <w:rsid w:val="003E79E9"/>
    <w:rsid w:val="003F05C7"/>
    <w:rsid w:val="003F2CD4"/>
    <w:rsid w:val="003F3876"/>
    <w:rsid w:val="003F4FD4"/>
    <w:rsid w:val="003F6BBE"/>
    <w:rsid w:val="003F7595"/>
    <w:rsid w:val="004000E8"/>
    <w:rsid w:val="00402E2B"/>
    <w:rsid w:val="0040512B"/>
    <w:rsid w:val="00405CA5"/>
    <w:rsid w:val="004075EA"/>
    <w:rsid w:val="00407CD3"/>
    <w:rsid w:val="00410134"/>
    <w:rsid w:val="00410B72"/>
    <w:rsid w:val="00410F18"/>
    <w:rsid w:val="0041263E"/>
    <w:rsid w:val="00413AAC"/>
    <w:rsid w:val="00413E92"/>
    <w:rsid w:val="0041545A"/>
    <w:rsid w:val="00416EB9"/>
    <w:rsid w:val="004171C8"/>
    <w:rsid w:val="00421105"/>
    <w:rsid w:val="00422AA4"/>
    <w:rsid w:val="00423A33"/>
    <w:rsid w:val="004242F4"/>
    <w:rsid w:val="00425493"/>
    <w:rsid w:val="0042595C"/>
    <w:rsid w:val="00427248"/>
    <w:rsid w:val="004342C1"/>
    <w:rsid w:val="00434942"/>
    <w:rsid w:val="00437447"/>
    <w:rsid w:val="00437C7F"/>
    <w:rsid w:val="00441A92"/>
    <w:rsid w:val="004431DC"/>
    <w:rsid w:val="00444F56"/>
    <w:rsid w:val="00446488"/>
    <w:rsid w:val="004517AA"/>
    <w:rsid w:val="00452CAC"/>
    <w:rsid w:val="0045360A"/>
    <w:rsid w:val="00454625"/>
    <w:rsid w:val="00454C7C"/>
    <w:rsid w:val="00457565"/>
    <w:rsid w:val="00457B71"/>
    <w:rsid w:val="004636F9"/>
    <w:rsid w:val="004669E2"/>
    <w:rsid w:val="004678B3"/>
    <w:rsid w:val="00467D96"/>
    <w:rsid w:val="00470C31"/>
    <w:rsid w:val="00471DE0"/>
    <w:rsid w:val="00472EF8"/>
    <w:rsid w:val="004734D0"/>
    <w:rsid w:val="00473A67"/>
    <w:rsid w:val="0047556B"/>
    <w:rsid w:val="00476E45"/>
    <w:rsid w:val="00477768"/>
    <w:rsid w:val="004830AC"/>
    <w:rsid w:val="0048351B"/>
    <w:rsid w:val="004871EA"/>
    <w:rsid w:val="00492BC5"/>
    <w:rsid w:val="0049585B"/>
    <w:rsid w:val="004964F1"/>
    <w:rsid w:val="00497B03"/>
    <w:rsid w:val="004A1390"/>
    <w:rsid w:val="004A16BC"/>
    <w:rsid w:val="004A23F9"/>
    <w:rsid w:val="004A2B94"/>
    <w:rsid w:val="004A2D00"/>
    <w:rsid w:val="004B044E"/>
    <w:rsid w:val="004B4429"/>
    <w:rsid w:val="004B6F6A"/>
    <w:rsid w:val="004B7C0C"/>
    <w:rsid w:val="004C0C10"/>
    <w:rsid w:val="004C3898"/>
    <w:rsid w:val="004D36B1"/>
    <w:rsid w:val="004D7EBD"/>
    <w:rsid w:val="004E2680"/>
    <w:rsid w:val="004E28F9"/>
    <w:rsid w:val="004E462E"/>
    <w:rsid w:val="004E56DC"/>
    <w:rsid w:val="004E76F4"/>
    <w:rsid w:val="004F0B4E"/>
    <w:rsid w:val="004F0B6C"/>
    <w:rsid w:val="004F2078"/>
    <w:rsid w:val="004F2110"/>
    <w:rsid w:val="004F4DA3"/>
    <w:rsid w:val="00501B24"/>
    <w:rsid w:val="00504E39"/>
    <w:rsid w:val="00506557"/>
    <w:rsid w:val="0050677A"/>
    <w:rsid w:val="00506AAD"/>
    <w:rsid w:val="005108D8"/>
    <w:rsid w:val="005116F9"/>
    <w:rsid w:val="00513B34"/>
    <w:rsid w:val="005153A7"/>
    <w:rsid w:val="0052116E"/>
    <w:rsid w:val="0052164F"/>
    <w:rsid w:val="005219CF"/>
    <w:rsid w:val="00526E99"/>
    <w:rsid w:val="00534B59"/>
    <w:rsid w:val="00536759"/>
    <w:rsid w:val="00536D13"/>
    <w:rsid w:val="00537C62"/>
    <w:rsid w:val="00542BD2"/>
    <w:rsid w:val="00544034"/>
    <w:rsid w:val="00544980"/>
    <w:rsid w:val="00546970"/>
    <w:rsid w:val="00547918"/>
    <w:rsid w:val="00553A92"/>
    <w:rsid w:val="00553BD3"/>
    <w:rsid w:val="00554E19"/>
    <w:rsid w:val="00557606"/>
    <w:rsid w:val="0056121F"/>
    <w:rsid w:val="005626F0"/>
    <w:rsid w:val="0056318C"/>
    <w:rsid w:val="00563A8F"/>
    <w:rsid w:val="00565968"/>
    <w:rsid w:val="00572505"/>
    <w:rsid w:val="00581017"/>
    <w:rsid w:val="005814A3"/>
    <w:rsid w:val="0058250D"/>
    <w:rsid w:val="00582809"/>
    <w:rsid w:val="005874CA"/>
    <w:rsid w:val="0058798C"/>
    <w:rsid w:val="005900FA"/>
    <w:rsid w:val="005914E1"/>
    <w:rsid w:val="005935A4"/>
    <w:rsid w:val="005936C1"/>
    <w:rsid w:val="005948C2"/>
    <w:rsid w:val="00595DCA"/>
    <w:rsid w:val="00596950"/>
    <w:rsid w:val="0059779B"/>
    <w:rsid w:val="00597DCE"/>
    <w:rsid w:val="00597EC4"/>
    <w:rsid w:val="005A209A"/>
    <w:rsid w:val="005A3D9D"/>
    <w:rsid w:val="005A662D"/>
    <w:rsid w:val="005B00F4"/>
    <w:rsid w:val="005B1409"/>
    <w:rsid w:val="005B35D7"/>
    <w:rsid w:val="005B392A"/>
    <w:rsid w:val="005B3AA3"/>
    <w:rsid w:val="005B4919"/>
    <w:rsid w:val="005B6F83"/>
    <w:rsid w:val="005C2D66"/>
    <w:rsid w:val="005C4978"/>
    <w:rsid w:val="005C74FB"/>
    <w:rsid w:val="005D1602"/>
    <w:rsid w:val="005D18A0"/>
    <w:rsid w:val="005D6AF4"/>
    <w:rsid w:val="005E03E8"/>
    <w:rsid w:val="005E385F"/>
    <w:rsid w:val="005E5B81"/>
    <w:rsid w:val="005E70AC"/>
    <w:rsid w:val="005E7FD1"/>
    <w:rsid w:val="005F0A89"/>
    <w:rsid w:val="005F1B3F"/>
    <w:rsid w:val="005F2CB1"/>
    <w:rsid w:val="005F3025"/>
    <w:rsid w:val="005F319B"/>
    <w:rsid w:val="005F5351"/>
    <w:rsid w:val="005F5D69"/>
    <w:rsid w:val="005F618C"/>
    <w:rsid w:val="005F70BD"/>
    <w:rsid w:val="0060283C"/>
    <w:rsid w:val="00604F14"/>
    <w:rsid w:val="00611137"/>
    <w:rsid w:val="00611B83"/>
    <w:rsid w:val="0061231E"/>
    <w:rsid w:val="0061256E"/>
    <w:rsid w:val="00613257"/>
    <w:rsid w:val="006154C0"/>
    <w:rsid w:val="00620A71"/>
    <w:rsid w:val="00620BAF"/>
    <w:rsid w:val="00620D80"/>
    <w:rsid w:val="006234A6"/>
    <w:rsid w:val="006238F9"/>
    <w:rsid w:val="0062505A"/>
    <w:rsid w:val="00630001"/>
    <w:rsid w:val="0063043D"/>
    <w:rsid w:val="006311B3"/>
    <w:rsid w:val="006320E0"/>
    <w:rsid w:val="00632833"/>
    <w:rsid w:val="0063284C"/>
    <w:rsid w:val="00633070"/>
    <w:rsid w:val="00633674"/>
    <w:rsid w:val="00633B7F"/>
    <w:rsid w:val="00634ED6"/>
    <w:rsid w:val="00635AAD"/>
    <w:rsid w:val="00636398"/>
    <w:rsid w:val="006368D3"/>
    <w:rsid w:val="00636F1F"/>
    <w:rsid w:val="006377EC"/>
    <w:rsid w:val="006407A7"/>
    <w:rsid w:val="0064151F"/>
    <w:rsid w:val="00641533"/>
    <w:rsid w:val="0064208D"/>
    <w:rsid w:val="00643475"/>
    <w:rsid w:val="0064396A"/>
    <w:rsid w:val="0064624E"/>
    <w:rsid w:val="00650AB9"/>
    <w:rsid w:val="00651147"/>
    <w:rsid w:val="00653232"/>
    <w:rsid w:val="00655733"/>
    <w:rsid w:val="00655ACD"/>
    <w:rsid w:val="00656A92"/>
    <w:rsid w:val="00656DDE"/>
    <w:rsid w:val="0066011D"/>
    <w:rsid w:val="006607C0"/>
    <w:rsid w:val="006613A6"/>
    <w:rsid w:val="006627A2"/>
    <w:rsid w:val="006634E6"/>
    <w:rsid w:val="006646DC"/>
    <w:rsid w:val="006655EE"/>
    <w:rsid w:val="00667EE7"/>
    <w:rsid w:val="00670922"/>
    <w:rsid w:val="00670BE1"/>
    <w:rsid w:val="0067218F"/>
    <w:rsid w:val="006741F2"/>
    <w:rsid w:val="00674CC3"/>
    <w:rsid w:val="00675C72"/>
    <w:rsid w:val="006769B6"/>
    <w:rsid w:val="006771F9"/>
    <w:rsid w:val="006776D7"/>
    <w:rsid w:val="00681003"/>
    <w:rsid w:val="006817C9"/>
    <w:rsid w:val="00682BA2"/>
    <w:rsid w:val="0068380C"/>
    <w:rsid w:val="00683AB8"/>
    <w:rsid w:val="00683ECE"/>
    <w:rsid w:val="006848C2"/>
    <w:rsid w:val="0069027E"/>
    <w:rsid w:val="00690D5B"/>
    <w:rsid w:val="00691710"/>
    <w:rsid w:val="0069240D"/>
    <w:rsid w:val="00695DF3"/>
    <w:rsid w:val="00695FC2"/>
    <w:rsid w:val="00696949"/>
    <w:rsid w:val="00696C4B"/>
    <w:rsid w:val="00697052"/>
    <w:rsid w:val="006A46FB"/>
    <w:rsid w:val="006A5E28"/>
    <w:rsid w:val="006A697B"/>
    <w:rsid w:val="006A7AFF"/>
    <w:rsid w:val="006A7C2D"/>
    <w:rsid w:val="006B1816"/>
    <w:rsid w:val="006B2099"/>
    <w:rsid w:val="006B3530"/>
    <w:rsid w:val="006B50CF"/>
    <w:rsid w:val="006B5F9C"/>
    <w:rsid w:val="006C03B8"/>
    <w:rsid w:val="006C5B71"/>
    <w:rsid w:val="006C5EC9"/>
    <w:rsid w:val="006C6059"/>
    <w:rsid w:val="006C7522"/>
    <w:rsid w:val="006D0D02"/>
    <w:rsid w:val="006D44B8"/>
    <w:rsid w:val="006D6DC4"/>
    <w:rsid w:val="006D6F08"/>
    <w:rsid w:val="006E062C"/>
    <w:rsid w:val="006E1C82"/>
    <w:rsid w:val="006E28B7"/>
    <w:rsid w:val="006E2A9B"/>
    <w:rsid w:val="006E3310"/>
    <w:rsid w:val="006E3A24"/>
    <w:rsid w:val="006E3E98"/>
    <w:rsid w:val="006E42AB"/>
    <w:rsid w:val="006E4E39"/>
    <w:rsid w:val="006E565E"/>
    <w:rsid w:val="006E6126"/>
    <w:rsid w:val="006E673D"/>
    <w:rsid w:val="006E6A94"/>
    <w:rsid w:val="006E7D3B"/>
    <w:rsid w:val="006F1B70"/>
    <w:rsid w:val="006F341D"/>
    <w:rsid w:val="006F3C68"/>
    <w:rsid w:val="006F3CDE"/>
    <w:rsid w:val="006F3DFE"/>
    <w:rsid w:val="006F58D4"/>
    <w:rsid w:val="006F6582"/>
    <w:rsid w:val="006F7F01"/>
    <w:rsid w:val="00700D8E"/>
    <w:rsid w:val="00702405"/>
    <w:rsid w:val="00702754"/>
    <w:rsid w:val="0070346E"/>
    <w:rsid w:val="00704EDB"/>
    <w:rsid w:val="00706101"/>
    <w:rsid w:val="00707072"/>
    <w:rsid w:val="00707D61"/>
    <w:rsid w:val="00707E7F"/>
    <w:rsid w:val="00712287"/>
    <w:rsid w:val="00712772"/>
    <w:rsid w:val="007148D3"/>
    <w:rsid w:val="00715B9A"/>
    <w:rsid w:val="007165F2"/>
    <w:rsid w:val="00716A45"/>
    <w:rsid w:val="00716BFD"/>
    <w:rsid w:val="007257D0"/>
    <w:rsid w:val="00726EA6"/>
    <w:rsid w:val="00727208"/>
    <w:rsid w:val="00727680"/>
    <w:rsid w:val="00731689"/>
    <w:rsid w:val="007333EB"/>
    <w:rsid w:val="007348B1"/>
    <w:rsid w:val="00735AE4"/>
    <w:rsid w:val="007362A6"/>
    <w:rsid w:val="00736D7D"/>
    <w:rsid w:val="00740E58"/>
    <w:rsid w:val="0074271D"/>
    <w:rsid w:val="007445A0"/>
    <w:rsid w:val="0074524B"/>
    <w:rsid w:val="00746125"/>
    <w:rsid w:val="00747D8B"/>
    <w:rsid w:val="00751228"/>
    <w:rsid w:val="00754DEB"/>
    <w:rsid w:val="007571E1"/>
    <w:rsid w:val="00757A16"/>
    <w:rsid w:val="007604B2"/>
    <w:rsid w:val="007619BE"/>
    <w:rsid w:val="00761C9F"/>
    <w:rsid w:val="00762B2A"/>
    <w:rsid w:val="007641C9"/>
    <w:rsid w:val="00765281"/>
    <w:rsid w:val="00766BAD"/>
    <w:rsid w:val="007718FE"/>
    <w:rsid w:val="007729A2"/>
    <w:rsid w:val="007755F2"/>
    <w:rsid w:val="00775687"/>
    <w:rsid w:val="00776410"/>
    <w:rsid w:val="00776971"/>
    <w:rsid w:val="00780A80"/>
    <w:rsid w:val="0078177E"/>
    <w:rsid w:val="00781BA6"/>
    <w:rsid w:val="0078304C"/>
    <w:rsid w:val="00783673"/>
    <w:rsid w:val="00784F6B"/>
    <w:rsid w:val="00785490"/>
    <w:rsid w:val="00787B0E"/>
    <w:rsid w:val="007925EA"/>
    <w:rsid w:val="00792A77"/>
    <w:rsid w:val="007930A9"/>
    <w:rsid w:val="00793404"/>
    <w:rsid w:val="00793CD8"/>
    <w:rsid w:val="00795C92"/>
    <w:rsid w:val="00795DF7"/>
    <w:rsid w:val="00796231"/>
    <w:rsid w:val="00797F12"/>
    <w:rsid w:val="007A1CB3"/>
    <w:rsid w:val="007A306F"/>
    <w:rsid w:val="007A41EA"/>
    <w:rsid w:val="007A43A6"/>
    <w:rsid w:val="007A58A6"/>
    <w:rsid w:val="007A5ADC"/>
    <w:rsid w:val="007B39E1"/>
    <w:rsid w:val="007B3D2D"/>
    <w:rsid w:val="007B50AE"/>
    <w:rsid w:val="007B51DF"/>
    <w:rsid w:val="007B619D"/>
    <w:rsid w:val="007C05DD"/>
    <w:rsid w:val="007C1A70"/>
    <w:rsid w:val="007C3D18"/>
    <w:rsid w:val="007C60BF"/>
    <w:rsid w:val="007C6A07"/>
    <w:rsid w:val="007C75A1"/>
    <w:rsid w:val="007C77A5"/>
    <w:rsid w:val="007C7C38"/>
    <w:rsid w:val="007D04E5"/>
    <w:rsid w:val="007D5901"/>
    <w:rsid w:val="007D67A6"/>
    <w:rsid w:val="007D7526"/>
    <w:rsid w:val="007D7F41"/>
    <w:rsid w:val="007E1D90"/>
    <w:rsid w:val="007E4610"/>
    <w:rsid w:val="007E4715"/>
    <w:rsid w:val="007E505B"/>
    <w:rsid w:val="007E646E"/>
    <w:rsid w:val="007E7091"/>
    <w:rsid w:val="00801ACF"/>
    <w:rsid w:val="00801C92"/>
    <w:rsid w:val="00802B94"/>
    <w:rsid w:val="00803279"/>
    <w:rsid w:val="00803FAE"/>
    <w:rsid w:val="0080605F"/>
    <w:rsid w:val="0080641A"/>
    <w:rsid w:val="00807786"/>
    <w:rsid w:val="00811FCB"/>
    <w:rsid w:val="008148D5"/>
    <w:rsid w:val="00815321"/>
    <w:rsid w:val="008158D6"/>
    <w:rsid w:val="00817196"/>
    <w:rsid w:val="00817E91"/>
    <w:rsid w:val="00821C2B"/>
    <w:rsid w:val="008235DB"/>
    <w:rsid w:val="008240A3"/>
    <w:rsid w:val="00824AB4"/>
    <w:rsid w:val="0082508F"/>
    <w:rsid w:val="00825C42"/>
    <w:rsid w:val="00825D25"/>
    <w:rsid w:val="00825D7C"/>
    <w:rsid w:val="00827313"/>
    <w:rsid w:val="00827D6F"/>
    <w:rsid w:val="00833F37"/>
    <w:rsid w:val="00835E1C"/>
    <w:rsid w:val="008376AC"/>
    <w:rsid w:val="008409F6"/>
    <w:rsid w:val="0084122B"/>
    <w:rsid w:val="0084252B"/>
    <w:rsid w:val="008444E8"/>
    <w:rsid w:val="00844E80"/>
    <w:rsid w:val="00846FE7"/>
    <w:rsid w:val="008478F9"/>
    <w:rsid w:val="00847E11"/>
    <w:rsid w:val="00850627"/>
    <w:rsid w:val="00856911"/>
    <w:rsid w:val="008677FD"/>
    <w:rsid w:val="008706D4"/>
    <w:rsid w:val="00870F8A"/>
    <w:rsid w:val="008719A4"/>
    <w:rsid w:val="00871D23"/>
    <w:rsid w:val="00874312"/>
    <w:rsid w:val="0087437C"/>
    <w:rsid w:val="00875CD7"/>
    <w:rsid w:val="00876B4D"/>
    <w:rsid w:val="00877F18"/>
    <w:rsid w:val="008870A3"/>
    <w:rsid w:val="0089138A"/>
    <w:rsid w:val="00891BB5"/>
    <w:rsid w:val="00891F54"/>
    <w:rsid w:val="0089220C"/>
    <w:rsid w:val="008930F3"/>
    <w:rsid w:val="008941E3"/>
    <w:rsid w:val="00894A88"/>
    <w:rsid w:val="00895386"/>
    <w:rsid w:val="00895883"/>
    <w:rsid w:val="008978A9"/>
    <w:rsid w:val="008A21FF"/>
    <w:rsid w:val="008A2CE2"/>
    <w:rsid w:val="008A30AC"/>
    <w:rsid w:val="008A44B8"/>
    <w:rsid w:val="008A51A8"/>
    <w:rsid w:val="008A54C7"/>
    <w:rsid w:val="008A6729"/>
    <w:rsid w:val="008A77D8"/>
    <w:rsid w:val="008B0483"/>
    <w:rsid w:val="008B082C"/>
    <w:rsid w:val="008B120C"/>
    <w:rsid w:val="008B5010"/>
    <w:rsid w:val="008B51A0"/>
    <w:rsid w:val="008B592A"/>
    <w:rsid w:val="008B5B1F"/>
    <w:rsid w:val="008B7B5C"/>
    <w:rsid w:val="008C0C99"/>
    <w:rsid w:val="008C2017"/>
    <w:rsid w:val="008C2DAD"/>
    <w:rsid w:val="008C301B"/>
    <w:rsid w:val="008C387A"/>
    <w:rsid w:val="008C439D"/>
    <w:rsid w:val="008C4958"/>
    <w:rsid w:val="008C4BAA"/>
    <w:rsid w:val="008C6AE8"/>
    <w:rsid w:val="008C6C13"/>
    <w:rsid w:val="008C7573"/>
    <w:rsid w:val="008D00A5"/>
    <w:rsid w:val="008D1938"/>
    <w:rsid w:val="008D34F1"/>
    <w:rsid w:val="008D39D8"/>
    <w:rsid w:val="008D47C0"/>
    <w:rsid w:val="008D69D8"/>
    <w:rsid w:val="008D6D1A"/>
    <w:rsid w:val="008E065E"/>
    <w:rsid w:val="008E0927"/>
    <w:rsid w:val="008E1909"/>
    <w:rsid w:val="008E4286"/>
    <w:rsid w:val="008E66CC"/>
    <w:rsid w:val="008E73A4"/>
    <w:rsid w:val="008F0718"/>
    <w:rsid w:val="008F1EAB"/>
    <w:rsid w:val="008F33DC"/>
    <w:rsid w:val="008F477F"/>
    <w:rsid w:val="00900212"/>
    <w:rsid w:val="00902350"/>
    <w:rsid w:val="0090336B"/>
    <w:rsid w:val="009053AA"/>
    <w:rsid w:val="00906939"/>
    <w:rsid w:val="00906CDE"/>
    <w:rsid w:val="00910B7D"/>
    <w:rsid w:val="00911DFB"/>
    <w:rsid w:val="0091389E"/>
    <w:rsid w:val="009139D9"/>
    <w:rsid w:val="00913DAA"/>
    <w:rsid w:val="00914AD8"/>
    <w:rsid w:val="00916079"/>
    <w:rsid w:val="009177B7"/>
    <w:rsid w:val="00917CE9"/>
    <w:rsid w:val="00920731"/>
    <w:rsid w:val="00920BF2"/>
    <w:rsid w:val="00920FDC"/>
    <w:rsid w:val="009210A2"/>
    <w:rsid w:val="00922010"/>
    <w:rsid w:val="00931BD9"/>
    <w:rsid w:val="00932AB1"/>
    <w:rsid w:val="00932D89"/>
    <w:rsid w:val="00932F86"/>
    <w:rsid w:val="00934AF5"/>
    <w:rsid w:val="009368F3"/>
    <w:rsid w:val="00936D11"/>
    <w:rsid w:val="00937B32"/>
    <w:rsid w:val="0094033A"/>
    <w:rsid w:val="00941636"/>
    <w:rsid w:val="00943742"/>
    <w:rsid w:val="00945C05"/>
    <w:rsid w:val="00946945"/>
    <w:rsid w:val="00947713"/>
    <w:rsid w:val="00950DE7"/>
    <w:rsid w:val="00953920"/>
    <w:rsid w:val="00953D47"/>
    <w:rsid w:val="0095681E"/>
    <w:rsid w:val="009572D4"/>
    <w:rsid w:val="00957BE1"/>
    <w:rsid w:val="00961921"/>
    <w:rsid w:val="0096430A"/>
    <w:rsid w:val="00964C60"/>
    <w:rsid w:val="0096554B"/>
    <w:rsid w:val="0096584A"/>
    <w:rsid w:val="00967B4F"/>
    <w:rsid w:val="0097014A"/>
    <w:rsid w:val="00971F08"/>
    <w:rsid w:val="00973321"/>
    <w:rsid w:val="0097603D"/>
    <w:rsid w:val="00976949"/>
    <w:rsid w:val="00976D6E"/>
    <w:rsid w:val="009800DC"/>
    <w:rsid w:val="00980477"/>
    <w:rsid w:val="00980FDE"/>
    <w:rsid w:val="00981A4B"/>
    <w:rsid w:val="00985253"/>
    <w:rsid w:val="009853B3"/>
    <w:rsid w:val="00987F1F"/>
    <w:rsid w:val="00990630"/>
    <w:rsid w:val="00991761"/>
    <w:rsid w:val="00994DCA"/>
    <w:rsid w:val="009960EC"/>
    <w:rsid w:val="00996CBA"/>
    <w:rsid w:val="009970DD"/>
    <w:rsid w:val="00997D5F"/>
    <w:rsid w:val="009A0333"/>
    <w:rsid w:val="009A0FBA"/>
    <w:rsid w:val="009A1601"/>
    <w:rsid w:val="009A3BB6"/>
    <w:rsid w:val="009A3BD6"/>
    <w:rsid w:val="009A462D"/>
    <w:rsid w:val="009A5CBA"/>
    <w:rsid w:val="009A65B0"/>
    <w:rsid w:val="009A6F20"/>
    <w:rsid w:val="009A7003"/>
    <w:rsid w:val="009B1F30"/>
    <w:rsid w:val="009B2F63"/>
    <w:rsid w:val="009B33F1"/>
    <w:rsid w:val="009B3AC2"/>
    <w:rsid w:val="009B4DF4"/>
    <w:rsid w:val="009B564E"/>
    <w:rsid w:val="009B7E87"/>
    <w:rsid w:val="009C0169"/>
    <w:rsid w:val="009C2912"/>
    <w:rsid w:val="009C403E"/>
    <w:rsid w:val="009D3282"/>
    <w:rsid w:val="009D3761"/>
    <w:rsid w:val="009D4FF0"/>
    <w:rsid w:val="009D6C93"/>
    <w:rsid w:val="009D703C"/>
    <w:rsid w:val="009D718F"/>
    <w:rsid w:val="009E068F"/>
    <w:rsid w:val="009E14E0"/>
    <w:rsid w:val="009E35DB"/>
    <w:rsid w:val="009E47A3"/>
    <w:rsid w:val="009E6354"/>
    <w:rsid w:val="009F02F4"/>
    <w:rsid w:val="009F08F3"/>
    <w:rsid w:val="009F344F"/>
    <w:rsid w:val="00A02126"/>
    <w:rsid w:val="00A031D8"/>
    <w:rsid w:val="00A03C86"/>
    <w:rsid w:val="00A048A8"/>
    <w:rsid w:val="00A04E4A"/>
    <w:rsid w:val="00A04F49"/>
    <w:rsid w:val="00A10969"/>
    <w:rsid w:val="00A1338B"/>
    <w:rsid w:val="00A13E54"/>
    <w:rsid w:val="00A16103"/>
    <w:rsid w:val="00A17F63"/>
    <w:rsid w:val="00A20F99"/>
    <w:rsid w:val="00A2193B"/>
    <w:rsid w:val="00A2351A"/>
    <w:rsid w:val="00A24EFE"/>
    <w:rsid w:val="00A264A9"/>
    <w:rsid w:val="00A26DCF"/>
    <w:rsid w:val="00A27785"/>
    <w:rsid w:val="00A30187"/>
    <w:rsid w:val="00A31D2F"/>
    <w:rsid w:val="00A3448A"/>
    <w:rsid w:val="00A35821"/>
    <w:rsid w:val="00A36297"/>
    <w:rsid w:val="00A40AD3"/>
    <w:rsid w:val="00A41E2B"/>
    <w:rsid w:val="00A45B74"/>
    <w:rsid w:val="00A476DA"/>
    <w:rsid w:val="00A51647"/>
    <w:rsid w:val="00A52E1D"/>
    <w:rsid w:val="00A61499"/>
    <w:rsid w:val="00A627CD"/>
    <w:rsid w:val="00A62A77"/>
    <w:rsid w:val="00A62B5B"/>
    <w:rsid w:val="00A63483"/>
    <w:rsid w:val="00A6442E"/>
    <w:rsid w:val="00A655FC"/>
    <w:rsid w:val="00A657D7"/>
    <w:rsid w:val="00A660AC"/>
    <w:rsid w:val="00A67E6C"/>
    <w:rsid w:val="00A67E8B"/>
    <w:rsid w:val="00A704B5"/>
    <w:rsid w:val="00A71B99"/>
    <w:rsid w:val="00A739D0"/>
    <w:rsid w:val="00A761D4"/>
    <w:rsid w:val="00A77EC4"/>
    <w:rsid w:val="00A8222F"/>
    <w:rsid w:val="00A8671A"/>
    <w:rsid w:val="00A874E2"/>
    <w:rsid w:val="00A92879"/>
    <w:rsid w:val="00A9442A"/>
    <w:rsid w:val="00AA016F"/>
    <w:rsid w:val="00AA1693"/>
    <w:rsid w:val="00AA1ED6"/>
    <w:rsid w:val="00AA23E8"/>
    <w:rsid w:val="00AA51D6"/>
    <w:rsid w:val="00AA62AB"/>
    <w:rsid w:val="00AB0BC8"/>
    <w:rsid w:val="00AB0E04"/>
    <w:rsid w:val="00AB11CA"/>
    <w:rsid w:val="00AB14D9"/>
    <w:rsid w:val="00AB1B00"/>
    <w:rsid w:val="00AB3712"/>
    <w:rsid w:val="00AB495E"/>
    <w:rsid w:val="00AB4AB8"/>
    <w:rsid w:val="00AB655E"/>
    <w:rsid w:val="00AB67AB"/>
    <w:rsid w:val="00AC007F"/>
    <w:rsid w:val="00AC1AF6"/>
    <w:rsid w:val="00AC2900"/>
    <w:rsid w:val="00AC2ECD"/>
    <w:rsid w:val="00AC3119"/>
    <w:rsid w:val="00AC49FB"/>
    <w:rsid w:val="00AC585B"/>
    <w:rsid w:val="00AC5A10"/>
    <w:rsid w:val="00AD0AA3"/>
    <w:rsid w:val="00AD1117"/>
    <w:rsid w:val="00AD3F94"/>
    <w:rsid w:val="00AD4A5A"/>
    <w:rsid w:val="00AD6889"/>
    <w:rsid w:val="00AE162B"/>
    <w:rsid w:val="00AE27AC"/>
    <w:rsid w:val="00AE33EF"/>
    <w:rsid w:val="00AE40E0"/>
    <w:rsid w:val="00AE4DBA"/>
    <w:rsid w:val="00AE4F07"/>
    <w:rsid w:val="00AF1594"/>
    <w:rsid w:val="00AF1C5D"/>
    <w:rsid w:val="00AF1E50"/>
    <w:rsid w:val="00AF26F5"/>
    <w:rsid w:val="00AF39EE"/>
    <w:rsid w:val="00AF42BD"/>
    <w:rsid w:val="00AF42D7"/>
    <w:rsid w:val="00AF46EB"/>
    <w:rsid w:val="00B006FE"/>
    <w:rsid w:val="00B007CB"/>
    <w:rsid w:val="00B00E75"/>
    <w:rsid w:val="00B029BF"/>
    <w:rsid w:val="00B02AA9"/>
    <w:rsid w:val="00B02FA3"/>
    <w:rsid w:val="00B03674"/>
    <w:rsid w:val="00B04CE3"/>
    <w:rsid w:val="00B05084"/>
    <w:rsid w:val="00B10948"/>
    <w:rsid w:val="00B137D4"/>
    <w:rsid w:val="00B145D3"/>
    <w:rsid w:val="00B157F9"/>
    <w:rsid w:val="00B16218"/>
    <w:rsid w:val="00B20256"/>
    <w:rsid w:val="00B20D09"/>
    <w:rsid w:val="00B22EAF"/>
    <w:rsid w:val="00B239A4"/>
    <w:rsid w:val="00B23F53"/>
    <w:rsid w:val="00B23FC7"/>
    <w:rsid w:val="00B2522E"/>
    <w:rsid w:val="00B2763F"/>
    <w:rsid w:val="00B27AAC"/>
    <w:rsid w:val="00B30929"/>
    <w:rsid w:val="00B35D01"/>
    <w:rsid w:val="00B372AA"/>
    <w:rsid w:val="00B40445"/>
    <w:rsid w:val="00B409E0"/>
    <w:rsid w:val="00B41888"/>
    <w:rsid w:val="00B44BE6"/>
    <w:rsid w:val="00B45A52"/>
    <w:rsid w:val="00B46175"/>
    <w:rsid w:val="00B47963"/>
    <w:rsid w:val="00B47DD1"/>
    <w:rsid w:val="00B548B7"/>
    <w:rsid w:val="00B56B30"/>
    <w:rsid w:val="00B57D8F"/>
    <w:rsid w:val="00B61265"/>
    <w:rsid w:val="00B664C7"/>
    <w:rsid w:val="00B6782A"/>
    <w:rsid w:val="00B7114D"/>
    <w:rsid w:val="00B728E9"/>
    <w:rsid w:val="00B72ADC"/>
    <w:rsid w:val="00B739F6"/>
    <w:rsid w:val="00B7418F"/>
    <w:rsid w:val="00B81A6C"/>
    <w:rsid w:val="00B82BA2"/>
    <w:rsid w:val="00B82CCE"/>
    <w:rsid w:val="00B8448B"/>
    <w:rsid w:val="00B85DE5"/>
    <w:rsid w:val="00B86FC6"/>
    <w:rsid w:val="00B8751D"/>
    <w:rsid w:val="00B90F73"/>
    <w:rsid w:val="00B93B59"/>
    <w:rsid w:val="00B93BF6"/>
    <w:rsid w:val="00B9406A"/>
    <w:rsid w:val="00B940C4"/>
    <w:rsid w:val="00BA1757"/>
    <w:rsid w:val="00BA2280"/>
    <w:rsid w:val="00BA2A08"/>
    <w:rsid w:val="00BA40B1"/>
    <w:rsid w:val="00BA56D2"/>
    <w:rsid w:val="00BA6B4A"/>
    <w:rsid w:val="00BA76E0"/>
    <w:rsid w:val="00BB1A6B"/>
    <w:rsid w:val="00BB2A25"/>
    <w:rsid w:val="00BB51E9"/>
    <w:rsid w:val="00BB5A01"/>
    <w:rsid w:val="00BC0FDC"/>
    <w:rsid w:val="00BC293D"/>
    <w:rsid w:val="00BC3053"/>
    <w:rsid w:val="00BC4D2E"/>
    <w:rsid w:val="00BC508B"/>
    <w:rsid w:val="00BD3C10"/>
    <w:rsid w:val="00BD48AC"/>
    <w:rsid w:val="00BD5F1A"/>
    <w:rsid w:val="00BE1234"/>
    <w:rsid w:val="00BE2FA6"/>
    <w:rsid w:val="00BE333F"/>
    <w:rsid w:val="00BE636E"/>
    <w:rsid w:val="00BE7406"/>
    <w:rsid w:val="00BE7603"/>
    <w:rsid w:val="00BF3279"/>
    <w:rsid w:val="00BF6F1D"/>
    <w:rsid w:val="00BF74C7"/>
    <w:rsid w:val="00C015F1"/>
    <w:rsid w:val="00C01F33"/>
    <w:rsid w:val="00C02CC6"/>
    <w:rsid w:val="00C040F7"/>
    <w:rsid w:val="00C044AB"/>
    <w:rsid w:val="00C05506"/>
    <w:rsid w:val="00C05706"/>
    <w:rsid w:val="00C07377"/>
    <w:rsid w:val="00C10478"/>
    <w:rsid w:val="00C1083E"/>
    <w:rsid w:val="00C12107"/>
    <w:rsid w:val="00C14D4B"/>
    <w:rsid w:val="00C154BB"/>
    <w:rsid w:val="00C158AA"/>
    <w:rsid w:val="00C2312E"/>
    <w:rsid w:val="00C242BB"/>
    <w:rsid w:val="00C268E6"/>
    <w:rsid w:val="00C279A9"/>
    <w:rsid w:val="00C279B5"/>
    <w:rsid w:val="00C27BB8"/>
    <w:rsid w:val="00C27C45"/>
    <w:rsid w:val="00C30B92"/>
    <w:rsid w:val="00C30C7C"/>
    <w:rsid w:val="00C33848"/>
    <w:rsid w:val="00C34892"/>
    <w:rsid w:val="00C34F8E"/>
    <w:rsid w:val="00C35503"/>
    <w:rsid w:val="00C3719D"/>
    <w:rsid w:val="00C37B29"/>
    <w:rsid w:val="00C37CB2"/>
    <w:rsid w:val="00C417E9"/>
    <w:rsid w:val="00C43D9D"/>
    <w:rsid w:val="00C473A5"/>
    <w:rsid w:val="00C52C3A"/>
    <w:rsid w:val="00C54995"/>
    <w:rsid w:val="00C54D41"/>
    <w:rsid w:val="00C60783"/>
    <w:rsid w:val="00C64672"/>
    <w:rsid w:val="00C67476"/>
    <w:rsid w:val="00C67BBE"/>
    <w:rsid w:val="00C700A6"/>
    <w:rsid w:val="00C70697"/>
    <w:rsid w:val="00C72093"/>
    <w:rsid w:val="00C72460"/>
    <w:rsid w:val="00C72EF4"/>
    <w:rsid w:val="00C7343E"/>
    <w:rsid w:val="00C73668"/>
    <w:rsid w:val="00C74215"/>
    <w:rsid w:val="00C744FE"/>
    <w:rsid w:val="00C75D2F"/>
    <w:rsid w:val="00C767BE"/>
    <w:rsid w:val="00C76E3C"/>
    <w:rsid w:val="00C77D51"/>
    <w:rsid w:val="00C81568"/>
    <w:rsid w:val="00C8434E"/>
    <w:rsid w:val="00C86DA0"/>
    <w:rsid w:val="00C87FD7"/>
    <w:rsid w:val="00C9027A"/>
    <w:rsid w:val="00C9037C"/>
    <w:rsid w:val="00C9068E"/>
    <w:rsid w:val="00C936B9"/>
    <w:rsid w:val="00C93814"/>
    <w:rsid w:val="00C93C4B"/>
    <w:rsid w:val="00C944AB"/>
    <w:rsid w:val="00C94816"/>
    <w:rsid w:val="00C95B40"/>
    <w:rsid w:val="00C95DB6"/>
    <w:rsid w:val="00CA1ED8"/>
    <w:rsid w:val="00CB1F63"/>
    <w:rsid w:val="00CB4675"/>
    <w:rsid w:val="00CB6A2C"/>
    <w:rsid w:val="00CB6F9F"/>
    <w:rsid w:val="00CB7170"/>
    <w:rsid w:val="00CC040E"/>
    <w:rsid w:val="00CC111F"/>
    <w:rsid w:val="00CC2011"/>
    <w:rsid w:val="00CC3EA0"/>
    <w:rsid w:val="00CC7B45"/>
    <w:rsid w:val="00CD1188"/>
    <w:rsid w:val="00CD2371"/>
    <w:rsid w:val="00CD2ED1"/>
    <w:rsid w:val="00CD337B"/>
    <w:rsid w:val="00CE0424"/>
    <w:rsid w:val="00CE599C"/>
    <w:rsid w:val="00CE7561"/>
    <w:rsid w:val="00CE7AAB"/>
    <w:rsid w:val="00CE7EEE"/>
    <w:rsid w:val="00CF1354"/>
    <w:rsid w:val="00CF3B1F"/>
    <w:rsid w:val="00CF3BF6"/>
    <w:rsid w:val="00CF4BC8"/>
    <w:rsid w:val="00CF625B"/>
    <w:rsid w:val="00CF687E"/>
    <w:rsid w:val="00CF741E"/>
    <w:rsid w:val="00D0349B"/>
    <w:rsid w:val="00D101AA"/>
    <w:rsid w:val="00D10249"/>
    <w:rsid w:val="00D11523"/>
    <w:rsid w:val="00D115C3"/>
    <w:rsid w:val="00D1180B"/>
    <w:rsid w:val="00D11897"/>
    <w:rsid w:val="00D11E4B"/>
    <w:rsid w:val="00D122A8"/>
    <w:rsid w:val="00D13135"/>
    <w:rsid w:val="00D13E4E"/>
    <w:rsid w:val="00D14762"/>
    <w:rsid w:val="00D2241E"/>
    <w:rsid w:val="00D22E2F"/>
    <w:rsid w:val="00D23710"/>
    <w:rsid w:val="00D239A7"/>
    <w:rsid w:val="00D23F47"/>
    <w:rsid w:val="00D35A7B"/>
    <w:rsid w:val="00D36DCF"/>
    <w:rsid w:val="00D36E71"/>
    <w:rsid w:val="00D37D87"/>
    <w:rsid w:val="00D40B33"/>
    <w:rsid w:val="00D4318F"/>
    <w:rsid w:val="00D438BF"/>
    <w:rsid w:val="00D440F8"/>
    <w:rsid w:val="00D45B13"/>
    <w:rsid w:val="00D47E89"/>
    <w:rsid w:val="00D52126"/>
    <w:rsid w:val="00D546FF"/>
    <w:rsid w:val="00D55AD5"/>
    <w:rsid w:val="00D576CA"/>
    <w:rsid w:val="00D602D9"/>
    <w:rsid w:val="00D61643"/>
    <w:rsid w:val="00D61AF5"/>
    <w:rsid w:val="00D6280F"/>
    <w:rsid w:val="00D652B5"/>
    <w:rsid w:val="00D66155"/>
    <w:rsid w:val="00D708B0"/>
    <w:rsid w:val="00D77B1D"/>
    <w:rsid w:val="00D8021F"/>
    <w:rsid w:val="00D80383"/>
    <w:rsid w:val="00D823C6"/>
    <w:rsid w:val="00D82E39"/>
    <w:rsid w:val="00D8327F"/>
    <w:rsid w:val="00D86CA3"/>
    <w:rsid w:val="00D871CE"/>
    <w:rsid w:val="00D9196D"/>
    <w:rsid w:val="00D92982"/>
    <w:rsid w:val="00D9498F"/>
    <w:rsid w:val="00D974B6"/>
    <w:rsid w:val="00DA0A96"/>
    <w:rsid w:val="00DA2C77"/>
    <w:rsid w:val="00DA305E"/>
    <w:rsid w:val="00DA5417"/>
    <w:rsid w:val="00DA56E8"/>
    <w:rsid w:val="00DB0A9F"/>
    <w:rsid w:val="00DB2CE8"/>
    <w:rsid w:val="00DB377D"/>
    <w:rsid w:val="00DB3F00"/>
    <w:rsid w:val="00DB5360"/>
    <w:rsid w:val="00DB6716"/>
    <w:rsid w:val="00DC2D36"/>
    <w:rsid w:val="00DC53EF"/>
    <w:rsid w:val="00DC5A16"/>
    <w:rsid w:val="00DD44DC"/>
    <w:rsid w:val="00DD4519"/>
    <w:rsid w:val="00DD6AE5"/>
    <w:rsid w:val="00DE00AE"/>
    <w:rsid w:val="00DE3364"/>
    <w:rsid w:val="00DE5608"/>
    <w:rsid w:val="00DE58D0"/>
    <w:rsid w:val="00DE654F"/>
    <w:rsid w:val="00DF0B6E"/>
    <w:rsid w:val="00DF15E0"/>
    <w:rsid w:val="00DF1BA7"/>
    <w:rsid w:val="00DF2E48"/>
    <w:rsid w:val="00DF37A0"/>
    <w:rsid w:val="00DF37C0"/>
    <w:rsid w:val="00DF54E5"/>
    <w:rsid w:val="00DF66E1"/>
    <w:rsid w:val="00E013F9"/>
    <w:rsid w:val="00E022E8"/>
    <w:rsid w:val="00E03380"/>
    <w:rsid w:val="00E110E7"/>
    <w:rsid w:val="00E11B20"/>
    <w:rsid w:val="00E15207"/>
    <w:rsid w:val="00E171D6"/>
    <w:rsid w:val="00E17742"/>
    <w:rsid w:val="00E17FA2"/>
    <w:rsid w:val="00E20DF7"/>
    <w:rsid w:val="00E22330"/>
    <w:rsid w:val="00E25B05"/>
    <w:rsid w:val="00E30B5A"/>
    <w:rsid w:val="00E3123D"/>
    <w:rsid w:val="00E31461"/>
    <w:rsid w:val="00E31D43"/>
    <w:rsid w:val="00E32608"/>
    <w:rsid w:val="00E331EB"/>
    <w:rsid w:val="00E33275"/>
    <w:rsid w:val="00E34188"/>
    <w:rsid w:val="00E34826"/>
    <w:rsid w:val="00E34B6E"/>
    <w:rsid w:val="00E354D5"/>
    <w:rsid w:val="00E35559"/>
    <w:rsid w:val="00E35C86"/>
    <w:rsid w:val="00E3723A"/>
    <w:rsid w:val="00E3779F"/>
    <w:rsid w:val="00E37860"/>
    <w:rsid w:val="00E40293"/>
    <w:rsid w:val="00E42038"/>
    <w:rsid w:val="00E446F1"/>
    <w:rsid w:val="00E46886"/>
    <w:rsid w:val="00E47AEF"/>
    <w:rsid w:val="00E53B75"/>
    <w:rsid w:val="00E54E3B"/>
    <w:rsid w:val="00E57565"/>
    <w:rsid w:val="00E6081A"/>
    <w:rsid w:val="00E609AC"/>
    <w:rsid w:val="00E62A48"/>
    <w:rsid w:val="00E63838"/>
    <w:rsid w:val="00E63AA5"/>
    <w:rsid w:val="00E64434"/>
    <w:rsid w:val="00E676A9"/>
    <w:rsid w:val="00E67C51"/>
    <w:rsid w:val="00E72EFC"/>
    <w:rsid w:val="00E74C0E"/>
    <w:rsid w:val="00E7513D"/>
    <w:rsid w:val="00E75507"/>
    <w:rsid w:val="00E758EC"/>
    <w:rsid w:val="00E76427"/>
    <w:rsid w:val="00E7686F"/>
    <w:rsid w:val="00E8234C"/>
    <w:rsid w:val="00E82B07"/>
    <w:rsid w:val="00E83AA9"/>
    <w:rsid w:val="00E85928"/>
    <w:rsid w:val="00E866FE"/>
    <w:rsid w:val="00E87822"/>
    <w:rsid w:val="00E90395"/>
    <w:rsid w:val="00E90E49"/>
    <w:rsid w:val="00E917F9"/>
    <w:rsid w:val="00E9291C"/>
    <w:rsid w:val="00E93FFE"/>
    <w:rsid w:val="00E94AE7"/>
    <w:rsid w:val="00E94F8A"/>
    <w:rsid w:val="00E97591"/>
    <w:rsid w:val="00EA1D10"/>
    <w:rsid w:val="00EA7543"/>
    <w:rsid w:val="00EA7A41"/>
    <w:rsid w:val="00EB077B"/>
    <w:rsid w:val="00EB4EA2"/>
    <w:rsid w:val="00EC24D5"/>
    <w:rsid w:val="00EC27C6"/>
    <w:rsid w:val="00EC3351"/>
    <w:rsid w:val="00EC4207"/>
    <w:rsid w:val="00EC5121"/>
    <w:rsid w:val="00EC5520"/>
    <w:rsid w:val="00EC5653"/>
    <w:rsid w:val="00EC71CE"/>
    <w:rsid w:val="00EC782B"/>
    <w:rsid w:val="00ED1006"/>
    <w:rsid w:val="00ED4E78"/>
    <w:rsid w:val="00ED56B1"/>
    <w:rsid w:val="00ED76E0"/>
    <w:rsid w:val="00EE4DD9"/>
    <w:rsid w:val="00EE505E"/>
    <w:rsid w:val="00EF0D20"/>
    <w:rsid w:val="00EF18FE"/>
    <w:rsid w:val="00EF5787"/>
    <w:rsid w:val="00EF60D0"/>
    <w:rsid w:val="00F018E8"/>
    <w:rsid w:val="00F03522"/>
    <w:rsid w:val="00F0528D"/>
    <w:rsid w:val="00F06C67"/>
    <w:rsid w:val="00F06D60"/>
    <w:rsid w:val="00F06DCE"/>
    <w:rsid w:val="00F06DFD"/>
    <w:rsid w:val="00F071D1"/>
    <w:rsid w:val="00F0734D"/>
    <w:rsid w:val="00F07533"/>
    <w:rsid w:val="00F10629"/>
    <w:rsid w:val="00F13EA3"/>
    <w:rsid w:val="00F153D5"/>
    <w:rsid w:val="00F15FA5"/>
    <w:rsid w:val="00F178A5"/>
    <w:rsid w:val="00F209B7"/>
    <w:rsid w:val="00F20F5C"/>
    <w:rsid w:val="00F2376F"/>
    <w:rsid w:val="00F243D8"/>
    <w:rsid w:val="00F2681E"/>
    <w:rsid w:val="00F30828"/>
    <w:rsid w:val="00F309B9"/>
    <w:rsid w:val="00F313D6"/>
    <w:rsid w:val="00F351B5"/>
    <w:rsid w:val="00F37C8C"/>
    <w:rsid w:val="00F40F0C"/>
    <w:rsid w:val="00F44069"/>
    <w:rsid w:val="00F47507"/>
    <w:rsid w:val="00F4766C"/>
    <w:rsid w:val="00F5030A"/>
    <w:rsid w:val="00F5060E"/>
    <w:rsid w:val="00F507D1"/>
    <w:rsid w:val="00F519CE"/>
    <w:rsid w:val="00F51ADA"/>
    <w:rsid w:val="00F52594"/>
    <w:rsid w:val="00F55511"/>
    <w:rsid w:val="00F60203"/>
    <w:rsid w:val="00F607C5"/>
    <w:rsid w:val="00F60DEA"/>
    <w:rsid w:val="00F6302A"/>
    <w:rsid w:val="00F63950"/>
    <w:rsid w:val="00F63FFE"/>
    <w:rsid w:val="00F64376"/>
    <w:rsid w:val="00F64C2B"/>
    <w:rsid w:val="00F651BE"/>
    <w:rsid w:val="00F65474"/>
    <w:rsid w:val="00F67F53"/>
    <w:rsid w:val="00F703BE"/>
    <w:rsid w:val="00F71F69"/>
    <w:rsid w:val="00F72B72"/>
    <w:rsid w:val="00F74BB9"/>
    <w:rsid w:val="00F75582"/>
    <w:rsid w:val="00F76EFA"/>
    <w:rsid w:val="00F804BE"/>
    <w:rsid w:val="00F817CE"/>
    <w:rsid w:val="00F8315A"/>
    <w:rsid w:val="00F83A2C"/>
    <w:rsid w:val="00F8456C"/>
    <w:rsid w:val="00F859D8"/>
    <w:rsid w:val="00F85FD1"/>
    <w:rsid w:val="00F868F5"/>
    <w:rsid w:val="00F9056A"/>
    <w:rsid w:val="00F90F8D"/>
    <w:rsid w:val="00F913D7"/>
    <w:rsid w:val="00F91F9A"/>
    <w:rsid w:val="00F92782"/>
    <w:rsid w:val="00F93AA9"/>
    <w:rsid w:val="00F95961"/>
    <w:rsid w:val="00F96146"/>
    <w:rsid w:val="00F96985"/>
    <w:rsid w:val="00F97838"/>
    <w:rsid w:val="00FA150C"/>
    <w:rsid w:val="00FA2BB3"/>
    <w:rsid w:val="00FA5497"/>
    <w:rsid w:val="00FB0994"/>
    <w:rsid w:val="00FB16DB"/>
    <w:rsid w:val="00FB3349"/>
    <w:rsid w:val="00FB4C80"/>
    <w:rsid w:val="00FB6A6A"/>
    <w:rsid w:val="00FB7A0F"/>
    <w:rsid w:val="00FC12AF"/>
    <w:rsid w:val="00FC5ACD"/>
    <w:rsid w:val="00FC7429"/>
    <w:rsid w:val="00FC7DBC"/>
    <w:rsid w:val="00FD07F6"/>
    <w:rsid w:val="00FD1EC8"/>
    <w:rsid w:val="00FD4266"/>
    <w:rsid w:val="00FD47ED"/>
    <w:rsid w:val="00FD74DB"/>
    <w:rsid w:val="00FD7660"/>
    <w:rsid w:val="00FE0655"/>
    <w:rsid w:val="00FE122E"/>
    <w:rsid w:val="00FE2365"/>
    <w:rsid w:val="00FE37D7"/>
    <w:rsid w:val="00FE4C7B"/>
    <w:rsid w:val="00FE7336"/>
    <w:rsid w:val="00FE7462"/>
    <w:rsid w:val="00FE787C"/>
    <w:rsid w:val="00FF45A5"/>
    <w:rsid w:val="00FF5247"/>
    <w:rsid w:val="00FF5461"/>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4A8F284-BAD9-47D6-A441-70CB40E2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150866"/>
    <w:pPr>
      <w:numPr>
        <w:numId w:val="27"/>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9b239327-9e80-40e4-b1b7-4394fed77a33"/>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www.w3.org/XML/1998/namespace"/>
    <ds:schemaRef ds:uri="http://schemas.microsoft.com/sharepoint/v3"/>
    <ds:schemaRef ds:uri="2f282d3b-eb4a-4b09-b61f-b9593442e286"/>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319FED00-E37E-4B01-AF9C-6A370046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9</Pages>
  <Words>5265</Words>
  <Characters>25430</Characters>
  <Application>Microsoft Office Word</Application>
  <DocSecurity>0</DocSecurity>
  <Lines>462</Lines>
  <Paragraphs>249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30446</CharactersWithSpaces>
  <SharedDoc>false</SharedDoc>
  <HLinks>
    <vt:vector size="102" baseType="variant">
      <vt:variant>
        <vt:i4>1966128</vt:i4>
      </vt:variant>
      <vt:variant>
        <vt:i4>68</vt:i4>
      </vt:variant>
      <vt:variant>
        <vt:i4>0</vt:i4>
      </vt:variant>
      <vt:variant>
        <vt:i4>5</vt:i4>
      </vt:variant>
      <vt:variant>
        <vt:lpwstr/>
      </vt:variant>
      <vt:variant>
        <vt:lpwstr>_Toc115342094</vt:lpwstr>
      </vt:variant>
      <vt:variant>
        <vt:i4>1966128</vt:i4>
      </vt:variant>
      <vt:variant>
        <vt:i4>65</vt:i4>
      </vt:variant>
      <vt:variant>
        <vt:i4>0</vt:i4>
      </vt:variant>
      <vt:variant>
        <vt:i4>5</vt:i4>
      </vt:variant>
      <vt:variant>
        <vt:lpwstr/>
      </vt:variant>
      <vt:variant>
        <vt:lpwstr>_Toc115342093</vt:lpwstr>
      </vt:variant>
      <vt:variant>
        <vt:i4>1966128</vt:i4>
      </vt:variant>
      <vt:variant>
        <vt:i4>62</vt:i4>
      </vt:variant>
      <vt:variant>
        <vt:i4>0</vt:i4>
      </vt:variant>
      <vt:variant>
        <vt:i4>5</vt:i4>
      </vt:variant>
      <vt:variant>
        <vt:lpwstr/>
      </vt:variant>
      <vt:variant>
        <vt:lpwstr>_Toc115342092</vt:lpwstr>
      </vt:variant>
      <vt:variant>
        <vt:i4>1966128</vt:i4>
      </vt:variant>
      <vt:variant>
        <vt:i4>59</vt:i4>
      </vt:variant>
      <vt:variant>
        <vt:i4>0</vt:i4>
      </vt:variant>
      <vt:variant>
        <vt:i4>5</vt:i4>
      </vt:variant>
      <vt:variant>
        <vt:lpwstr/>
      </vt:variant>
      <vt:variant>
        <vt:lpwstr>_Toc115342091</vt:lpwstr>
      </vt:variant>
      <vt:variant>
        <vt:i4>1966128</vt:i4>
      </vt:variant>
      <vt:variant>
        <vt:i4>56</vt:i4>
      </vt:variant>
      <vt:variant>
        <vt:i4>0</vt:i4>
      </vt:variant>
      <vt:variant>
        <vt:i4>5</vt:i4>
      </vt:variant>
      <vt:variant>
        <vt:lpwstr/>
      </vt:variant>
      <vt:variant>
        <vt:lpwstr>_Toc115342090</vt:lpwstr>
      </vt:variant>
      <vt:variant>
        <vt:i4>2031664</vt:i4>
      </vt:variant>
      <vt:variant>
        <vt:i4>53</vt:i4>
      </vt:variant>
      <vt:variant>
        <vt:i4>0</vt:i4>
      </vt:variant>
      <vt:variant>
        <vt:i4>5</vt:i4>
      </vt:variant>
      <vt:variant>
        <vt:lpwstr/>
      </vt:variant>
      <vt:variant>
        <vt:lpwstr>_Toc115342089</vt:lpwstr>
      </vt:variant>
      <vt:variant>
        <vt:i4>2031664</vt:i4>
      </vt:variant>
      <vt:variant>
        <vt:i4>50</vt:i4>
      </vt:variant>
      <vt:variant>
        <vt:i4>0</vt:i4>
      </vt:variant>
      <vt:variant>
        <vt:i4>5</vt:i4>
      </vt:variant>
      <vt:variant>
        <vt:lpwstr/>
      </vt:variant>
      <vt:variant>
        <vt:lpwstr>_Toc115342088</vt:lpwstr>
      </vt:variant>
      <vt:variant>
        <vt:i4>2031664</vt:i4>
      </vt:variant>
      <vt:variant>
        <vt:i4>47</vt:i4>
      </vt:variant>
      <vt:variant>
        <vt:i4>0</vt:i4>
      </vt:variant>
      <vt:variant>
        <vt:i4>5</vt:i4>
      </vt:variant>
      <vt:variant>
        <vt:lpwstr/>
      </vt:variant>
      <vt:variant>
        <vt:lpwstr>_Toc115342087</vt:lpwstr>
      </vt:variant>
      <vt:variant>
        <vt:i4>2031664</vt:i4>
      </vt:variant>
      <vt:variant>
        <vt:i4>44</vt:i4>
      </vt:variant>
      <vt:variant>
        <vt:i4>0</vt:i4>
      </vt:variant>
      <vt:variant>
        <vt:i4>5</vt:i4>
      </vt:variant>
      <vt:variant>
        <vt:lpwstr/>
      </vt:variant>
      <vt:variant>
        <vt:lpwstr>_Toc115342086</vt:lpwstr>
      </vt:variant>
      <vt:variant>
        <vt:i4>2031664</vt:i4>
      </vt:variant>
      <vt:variant>
        <vt:i4>41</vt:i4>
      </vt:variant>
      <vt:variant>
        <vt:i4>0</vt:i4>
      </vt:variant>
      <vt:variant>
        <vt:i4>5</vt:i4>
      </vt:variant>
      <vt:variant>
        <vt:lpwstr/>
      </vt:variant>
      <vt:variant>
        <vt:lpwstr>_Toc115342085</vt:lpwstr>
      </vt:variant>
      <vt:variant>
        <vt:i4>2031664</vt:i4>
      </vt:variant>
      <vt:variant>
        <vt:i4>38</vt:i4>
      </vt:variant>
      <vt:variant>
        <vt:i4>0</vt:i4>
      </vt:variant>
      <vt:variant>
        <vt:i4>5</vt:i4>
      </vt:variant>
      <vt:variant>
        <vt:lpwstr/>
      </vt:variant>
      <vt:variant>
        <vt:lpwstr>_Toc115342084</vt:lpwstr>
      </vt:variant>
      <vt:variant>
        <vt:i4>2031664</vt:i4>
      </vt:variant>
      <vt:variant>
        <vt:i4>35</vt:i4>
      </vt:variant>
      <vt:variant>
        <vt:i4>0</vt:i4>
      </vt:variant>
      <vt:variant>
        <vt:i4>5</vt:i4>
      </vt:variant>
      <vt:variant>
        <vt:lpwstr/>
      </vt:variant>
      <vt:variant>
        <vt:lpwstr>_Toc115342083</vt:lpwstr>
      </vt:variant>
      <vt:variant>
        <vt:i4>2031664</vt:i4>
      </vt:variant>
      <vt:variant>
        <vt:i4>32</vt:i4>
      </vt:variant>
      <vt:variant>
        <vt:i4>0</vt:i4>
      </vt:variant>
      <vt:variant>
        <vt:i4>5</vt:i4>
      </vt:variant>
      <vt:variant>
        <vt:lpwstr/>
      </vt:variant>
      <vt:variant>
        <vt:lpwstr>_Toc115342082</vt:lpwstr>
      </vt:variant>
      <vt:variant>
        <vt:i4>2031664</vt:i4>
      </vt:variant>
      <vt:variant>
        <vt:i4>29</vt:i4>
      </vt:variant>
      <vt:variant>
        <vt:i4>0</vt:i4>
      </vt:variant>
      <vt:variant>
        <vt:i4>5</vt:i4>
      </vt:variant>
      <vt:variant>
        <vt:lpwstr/>
      </vt:variant>
      <vt:variant>
        <vt:lpwstr>_Toc115342081</vt:lpwstr>
      </vt:variant>
      <vt:variant>
        <vt:i4>2031664</vt:i4>
      </vt:variant>
      <vt:variant>
        <vt:i4>23</vt:i4>
      </vt:variant>
      <vt:variant>
        <vt:i4>0</vt:i4>
      </vt:variant>
      <vt:variant>
        <vt:i4>5</vt:i4>
      </vt:variant>
      <vt:variant>
        <vt:lpwstr/>
      </vt:variant>
      <vt:variant>
        <vt:lpwstr>_Toc115342080</vt:lpwstr>
      </vt:variant>
      <vt:variant>
        <vt:i4>1048624</vt:i4>
      </vt:variant>
      <vt:variant>
        <vt:i4>20</vt:i4>
      </vt:variant>
      <vt:variant>
        <vt:i4>0</vt:i4>
      </vt:variant>
      <vt:variant>
        <vt:i4>5</vt:i4>
      </vt:variant>
      <vt:variant>
        <vt:lpwstr/>
      </vt:variant>
      <vt:variant>
        <vt:lpwstr>_Toc115342079</vt:lpwstr>
      </vt:variant>
      <vt:variant>
        <vt:i4>1048624</vt:i4>
      </vt:variant>
      <vt:variant>
        <vt:i4>17</vt:i4>
      </vt:variant>
      <vt:variant>
        <vt:i4>0</vt:i4>
      </vt:variant>
      <vt:variant>
        <vt:i4>5</vt:i4>
      </vt:variant>
      <vt:variant>
        <vt:lpwstr/>
      </vt:variant>
      <vt:variant>
        <vt:lpwstr>_Toc115342078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Cecilia Eklöf</cp:lastModifiedBy>
  <cp:revision>2</cp:revision>
  <cp:lastPrinted>2008-01-31T16:09:00Z</cp:lastPrinted>
  <dcterms:created xsi:type="dcterms:W3CDTF">2022-09-30T08:30:00Z</dcterms:created>
  <dcterms:modified xsi:type="dcterms:W3CDTF">2022-09-30T08:30:00Z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